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56079564" w:displacedByCustomXml="next"/>
    <w:bookmarkStart w:id="2" w:name="_Toc465173648" w:displacedByCustomXml="next"/>
    <w:bookmarkStart w:id="3" w:name="_Toc467171903" w:displacedByCustomXml="next"/>
    <w:bookmarkStart w:id="4" w:name="_Toc24010319" w:displacedByCustomXml="next"/>
    <w:sdt>
      <w:sdtPr>
        <w:rPr>
          <w:rFonts w:ascii="Times New Roman" w:eastAsiaTheme="minorEastAsia" w:hAnsi="Times New Roman" w:cstheme="minorBidi"/>
          <w:bCs w:val="0"/>
          <w:color w:val="auto"/>
          <w:kern w:val="2"/>
          <w:sz w:val="24"/>
          <w:szCs w:val="22"/>
        </w:rPr>
        <w:id w:val="-788196515"/>
        <w:docPartObj>
          <w:docPartGallery w:val="Table of Contents"/>
          <w:docPartUnique/>
        </w:docPartObj>
      </w:sdtPr>
      <w:sdtEndPr>
        <w:rPr>
          <w:b/>
        </w:rPr>
      </w:sdtEndPr>
      <w:sdtContent>
        <w:p w14:paraId="642075FD" w14:textId="3749878D" w:rsidR="007317D6" w:rsidRPr="00885A57" w:rsidRDefault="00165346" w:rsidP="001A2139">
          <w:pPr>
            <w:pStyle w:val="afc"/>
            <w:spacing w:line="360" w:lineRule="auto"/>
            <w:rPr>
              <w:rFonts w:ascii="Times New Roman" w:hAnsi="Times New Roman"/>
              <w:color w:val="auto"/>
              <w:sz w:val="24"/>
              <w:szCs w:val="24"/>
            </w:rPr>
          </w:pPr>
          <w:r w:rsidRPr="00885A57">
            <w:rPr>
              <w:rFonts w:ascii="Times New Roman" w:hAnsi="Times New Roman"/>
              <w:color w:val="auto"/>
              <w:sz w:val="24"/>
              <w:szCs w:val="24"/>
            </w:rPr>
            <w:t>Contents</w:t>
          </w:r>
        </w:p>
        <w:p w14:paraId="483D7B07" w14:textId="7178F965" w:rsidR="00924128" w:rsidRDefault="000B54A0">
          <w:pPr>
            <w:pStyle w:val="14"/>
            <w:tabs>
              <w:tab w:val="right" w:leader="dot" w:pos="8250"/>
            </w:tabs>
            <w:rPr>
              <w:b w:val="0"/>
              <w:noProof/>
              <w:szCs w:val="22"/>
            </w:rPr>
          </w:pPr>
          <w:r w:rsidRPr="00885A57">
            <w:rPr>
              <w:rFonts w:ascii="Times New Roman" w:eastAsia="標楷體" w:hAnsi="Times New Roman" w:cs="Times New Roman"/>
              <w:b w:val="0"/>
              <w:bCs/>
            </w:rPr>
            <w:fldChar w:fldCharType="begin"/>
          </w:r>
          <w:r w:rsidR="007317D6" w:rsidRPr="00885A57">
            <w:rPr>
              <w:rFonts w:ascii="Times New Roman" w:eastAsia="標楷體" w:hAnsi="Times New Roman" w:cs="Times New Roman"/>
              <w:b w:val="0"/>
              <w:bCs/>
            </w:rPr>
            <w:instrText xml:space="preserve"> TOC \o "1-3" \h \z \u </w:instrText>
          </w:r>
          <w:r w:rsidRPr="00885A57">
            <w:rPr>
              <w:rFonts w:ascii="Times New Roman" w:eastAsia="標楷體" w:hAnsi="Times New Roman" w:cs="Times New Roman"/>
              <w:b w:val="0"/>
              <w:bCs/>
            </w:rPr>
            <w:fldChar w:fldCharType="separate"/>
          </w:r>
          <w:hyperlink w:anchor="_Toc73108672" w:history="1">
            <w:r w:rsidR="00924128" w:rsidRPr="005E553A">
              <w:rPr>
                <w:rStyle w:val="ac"/>
                <w:rFonts w:ascii="Times New Roman" w:hAnsi="Times New Roman"/>
                <w:noProof/>
              </w:rPr>
              <w:t>Abbreviations</w:t>
            </w:r>
            <w:r w:rsidR="00924128">
              <w:rPr>
                <w:noProof/>
                <w:webHidden/>
              </w:rPr>
              <w:tab/>
            </w:r>
            <w:r w:rsidR="00924128">
              <w:rPr>
                <w:noProof/>
                <w:webHidden/>
              </w:rPr>
              <w:fldChar w:fldCharType="begin"/>
            </w:r>
            <w:r w:rsidR="00924128">
              <w:rPr>
                <w:noProof/>
                <w:webHidden/>
              </w:rPr>
              <w:instrText xml:space="preserve"> PAGEREF _Toc73108672 \h </w:instrText>
            </w:r>
            <w:r w:rsidR="00924128">
              <w:rPr>
                <w:noProof/>
                <w:webHidden/>
              </w:rPr>
            </w:r>
            <w:r w:rsidR="00924128">
              <w:rPr>
                <w:noProof/>
                <w:webHidden/>
              </w:rPr>
              <w:fldChar w:fldCharType="separate"/>
            </w:r>
            <w:r w:rsidR="00F00A73">
              <w:rPr>
                <w:noProof/>
                <w:webHidden/>
              </w:rPr>
              <w:t>3</w:t>
            </w:r>
            <w:r w:rsidR="00924128">
              <w:rPr>
                <w:noProof/>
                <w:webHidden/>
              </w:rPr>
              <w:fldChar w:fldCharType="end"/>
            </w:r>
          </w:hyperlink>
        </w:p>
        <w:p w14:paraId="79A5A6B0" w14:textId="64B1EE2F" w:rsidR="00924128" w:rsidRDefault="00BC35CA">
          <w:pPr>
            <w:pStyle w:val="14"/>
            <w:tabs>
              <w:tab w:val="right" w:leader="dot" w:pos="8250"/>
            </w:tabs>
            <w:rPr>
              <w:b w:val="0"/>
              <w:noProof/>
              <w:szCs w:val="22"/>
            </w:rPr>
          </w:pPr>
          <w:hyperlink w:anchor="_Toc73108673" w:history="1">
            <w:r w:rsidR="00924128" w:rsidRPr="005E553A">
              <w:rPr>
                <w:rStyle w:val="ac"/>
                <w:rFonts w:ascii="Times New Roman" w:hAnsi="Times New Roman"/>
                <w:noProof/>
              </w:rPr>
              <w:t>Articles 1, 2, 3 and 4: Purpose, definition, general principles, and general obligations</w:t>
            </w:r>
            <w:r w:rsidR="00924128">
              <w:rPr>
                <w:noProof/>
                <w:webHidden/>
              </w:rPr>
              <w:tab/>
            </w:r>
            <w:r w:rsidR="00924128">
              <w:rPr>
                <w:noProof/>
                <w:webHidden/>
              </w:rPr>
              <w:fldChar w:fldCharType="begin"/>
            </w:r>
            <w:r w:rsidR="00924128">
              <w:rPr>
                <w:noProof/>
                <w:webHidden/>
              </w:rPr>
              <w:instrText xml:space="preserve"> PAGEREF _Toc73108673 \h </w:instrText>
            </w:r>
            <w:r w:rsidR="00924128">
              <w:rPr>
                <w:noProof/>
                <w:webHidden/>
              </w:rPr>
            </w:r>
            <w:r w:rsidR="00924128">
              <w:rPr>
                <w:noProof/>
                <w:webHidden/>
              </w:rPr>
              <w:fldChar w:fldCharType="separate"/>
            </w:r>
            <w:r w:rsidR="00F00A73">
              <w:rPr>
                <w:noProof/>
                <w:webHidden/>
              </w:rPr>
              <w:t>5</w:t>
            </w:r>
            <w:r w:rsidR="00924128">
              <w:rPr>
                <w:noProof/>
                <w:webHidden/>
              </w:rPr>
              <w:fldChar w:fldCharType="end"/>
            </w:r>
          </w:hyperlink>
        </w:p>
        <w:p w14:paraId="62F8A466" w14:textId="0AF448C8" w:rsidR="00924128" w:rsidRDefault="00BC35CA">
          <w:pPr>
            <w:pStyle w:val="14"/>
            <w:tabs>
              <w:tab w:val="right" w:leader="dot" w:pos="8250"/>
            </w:tabs>
            <w:rPr>
              <w:b w:val="0"/>
              <w:noProof/>
              <w:szCs w:val="22"/>
            </w:rPr>
          </w:pPr>
          <w:hyperlink w:anchor="_Toc73108674" w:history="1">
            <w:r w:rsidR="00924128" w:rsidRPr="005E553A">
              <w:rPr>
                <w:rStyle w:val="ac"/>
                <w:rFonts w:ascii="Times New Roman" w:hAnsi="Times New Roman"/>
                <w:noProof/>
              </w:rPr>
              <w:t>Article 5: Equality and nondiscrimination</w:t>
            </w:r>
            <w:r w:rsidR="00924128">
              <w:rPr>
                <w:noProof/>
                <w:webHidden/>
              </w:rPr>
              <w:tab/>
            </w:r>
            <w:r w:rsidR="00924128">
              <w:rPr>
                <w:noProof/>
                <w:webHidden/>
              </w:rPr>
              <w:fldChar w:fldCharType="begin"/>
            </w:r>
            <w:r w:rsidR="00924128">
              <w:rPr>
                <w:noProof/>
                <w:webHidden/>
              </w:rPr>
              <w:instrText xml:space="preserve"> PAGEREF _Toc73108674 \h </w:instrText>
            </w:r>
            <w:r w:rsidR="00924128">
              <w:rPr>
                <w:noProof/>
                <w:webHidden/>
              </w:rPr>
            </w:r>
            <w:r w:rsidR="00924128">
              <w:rPr>
                <w:noProof/>
                <w:webHidden/>
              </w:rPr>
              <w:fldChar w:fldCharType="separate"/>
            </w:r>
            <w:r w:rsidR="00F00A73">
              <w:rPr>
                <w:noProof/>
                <w:webHidden/>
              </w:rPr>
              <w:t>13</w:t>
            </w:r>
            <w:r w:rsidR="00924128">
              <w:rPr>
                <w:noProof/>
                <w:webHidden/>
              </w:rPr>
              <w:fldChar w:fldCharType="end"/>
            </w:r>
          </w:hyperlink>
        </w:p>
        <w:p w14:paraId="77C7BDA2" w14:textId="41927500" w:rsidR="00924128" w:rsidRDefault="00BC35CA">
          <w:pPr>
            <w:pStyle w:val="14"/>
            <w:tabs>
              <w:tab w:val="right" w:leader="dot" w:pos="8250"/>
            </w:tabs>
            <w:rPr>
              <w:b w:val="0"/>
              <w:noProof/>
              <w:szCs w:val="22"/>
            </w:rPr>
          </w:pPr>
          <w:hyperlink w:anchor="_Toc73108675" w:history="1">
            <w:r w:rsidR="00924128" w:rsidRPr="005E553A">
              <w:rPr>
                <w:rStyle w:val="ac"/>
                <w:rFonts w:ascii="Times New Roman" w:hAnsi="Times New Roman"/>
                <w:noProof/>
              </w:rPr>
              <w:t>Article 6: Women with disabilities</w:t>
            </w:r>
            <w:r w:rsidR="00924128">
              <w:rPr>
                <w:noProof/>
                <w:webHidden/>
              </w:rPr>
              <w:tab/>
            </w:r>
            <w:r w:rsidR="00924128">
              <w:rPr>
                <w:noProof/>
                <w:webHidden/>
              </w:rPr>
              <w:fldChar w:fldCharType="begin"/>
            </w:r>
            <w:r w:rsidR="00924128">
              <w:rPr>
                <w:noProof/>
                <w:webHidden/>
              </w:rPr>
              <w:instrText xml:space="preserve"> PAGEREF _Toc73108675 \h </w:instrText>
            </w:r>
            <w:r w:rsidR="00924128">
              <w:rPr>
                <w:noProof/>
                <w:webHidden/>
              </w:rPr>
            </w:r>
            <w:r w:rsidR="00924128">
              <w:rPr>
                <w:noProof/>
                <w:webHidden/>
              </w:rPr>
              <w:fldChar w:fldCharType="separate"/>
            </w:r>
            <w:r w:rsidR="00F00A73">
              <w:rPr>
                <w:noProof/>
                <w:webHidden/>
              </w:rPr>
              <w:t>20</w:t>
            </w:r>
            <w:r w:rsidR="00924128">
              <w:rPr>
                <w:noProof/>
                <w:webHidden/>
              </w:rPr>
              <w:fldChar w:fldCharType="end"/>
            </w:r>
          </w:hyperlink>
        </w:p>
        <w:p w14:paraId="44C2F539" w14:textId="168C9348" w:rsidR="00924128" w:rsidRDefault="00BC35CA">
          <w:pPr>
            <w:pStyle w:val="14"/>
            <w:tabs>
              <w:tab w:val="right" w:leader="dot" w:pos="8250"/>
            </w:tabs>
            <w:rPr>
              <w:b w:val="0"/>
              <w:noProof/>
              <w:szCs w:val="22"/>
            </w:rPr>
          </w:pPr>
          <w:hyperlink w:anchor="_Toc73108676" w:history="1">
            <w:r w:rsidR="00924128" w:rsidRPr="005E553A">
              <w:rPr>
                <w:rStyle w:val="ac"/>
                <w:rFonts w:ascii="Times New Roman" w:hAnsi="Times New Roman"/>
                <w:noProof/>
              </w:rPr>
              <w:t>Article 7: Children with disabilities</w:t>
            </w:r>
            <w:r w:rsidR="00924128">
              <w:rPr>
                <w:noProof/>
                <w:webHidden/>
              </w:rPr>
              <w:tab/>
            </w:r>
            <w:r w:rsidR="00924128">
              <w:rPr>
                <w:noProof/>
                <w:webHidden/>
              </w:rPr>
              <w:fldChar w:fldCharType="begin"/>
            </w:r>
            <w:r w:rsidR="00924128">
              <w:rPr>
                <w:noProof/>
                <w:webHidden/>
              </w:rPr>
              <w:instrText xml:space="preserve"> PAGEREF _Toc73108676 \h </w:instrText>
            </w:r>
            <w:r w:rsidR="00924128">
              <w:rPr>
                <w:noProof/>
                <w:webHidden/>
              </w:rPr>
            </w:r>
            <w:r w:rsidR="00924128">
              <w:rPr>
                <w:noProof/>
                <w:webHidden/>
              </w:rPr>
              <w:fldChar w:fldCharType="separate"/>
            </w:r>
            <w:r w:rsidR="00F00A73">
              <w:rPr>
                <w:noProof/>
                <w:webHidden/>
              </w:rPr>
              <w:t>24</w:t>
            </w:r>
            <w:r w:rsidR="00924128">
              <w:rPr>
                <w:noProof/>
                <w:webHidden/>
              </w:rPr>
              <w:fldChar w:fldCharType="end"/>
            </w:r>
          </w:hyperlink>
        </w:p>
        <w:p w14:paraId="064671D7" w14:textId="26FDB34A" w:rsidR="00924128" w:rsidRDefault="00BC35CA">
          <w:pPr>
            <w:pStyle w:val="14"/>
            <w:tabs>
              <w:tab w:val="right" w:leader="dot" w:pos="8250"/>
            </w:tabs>
            <w:rPr>
              <w:b w:val="0"/>
              <w:noProof/>
              <w:szCs w:val="22"/>
            </w:rPr>
          </w:pPr>
          <w:hyperlink w:anchor="_Toc73108677" w:history="1">
            <w:r w:rsidR="00924128" w:rsidRPr="005E553A">
              <w:rPr>
                <w:rStyle w:val="ac"/>
                <w:rFonts w:ascii="Times New Roman" w:hAnsi="Times New Roman"/>
                <w:noProof/>
              </w:rPr>
              <w:t xml:space="preserve">Article 8: </w:t>
            </w:r>
            <w:r w:rsidR="00924128" w:rsidRPr="005E553A">
              <w:rPr>
                <w:rStyle w:val="ac"/>
                <w:rFonts w:ascii="Times New Roman" w:hAnsi="Times New Roman"/>
                <w:bCs/>
                <w:noProof/>
              </w:rPr>
              <w:t>Awareness raising</w:t>
            </w:r>
            <w:r w:rsidR="00924128">
              <w:rPr>
                <w:noProof/>
                <w:webHidden/>
              </w:rPr>
              <w:tab/>
            </w:r>
            <w:r w:rsidR="00924128">
              <w:rPr>
                <w:noProof/>
                <w:webHidden/>
              </w:rPr>
              <w:fldChar w:fldCharType="begin"/>
            </w:r>
            <w:r w:rsidR="00924128">
              <w:rPr>
                <w:noProof/>
                <w:webHidden/>
              </w:rPr>
              <w:instrText xml:space="preserve"> PAGEREF _Toc73108677 \h </w:instrText>
            </w:r>
            <w:r w:rsidR="00924128">
              <w:rPr>
                <w:noProof/>
                <w:webHidden/>
              </w:rPr>
            </w:r>
            <w:r w:rsidR="00924128">
              <w:rPr>
                <w:noProof/>
                <w:webHidden/>
              </w:rPr>
              <w:fldChar w:fldCharType="separate"/>
            </w:r>
            <w:r w:rsidR="00F00A73">
              <w:rPr>
                <w:noProof/>
                <w:webHidden/>
              </w:rPr>
              <w:t>31</w:t>
            </w:r>
            <w:r w:rsidR="00924128">
              <w:rPr>
                <w:noProof/>
                <w:webHidden/>
              </w:rPr>
              <w:fldChar w:fldCharType="end"/>
            </w:r>
          </w:hyperlink>
        </w:p>
        <w:p w14:paraId="5789E852" w14:textId="5E29CED9" w:rsidR="00924128" w:rsidRDefault="00BC35CA">
          <w:pPr>
            <w:pStyle w:val="14"/>
            <w:tabs>
              <w:tab w:val="right" w:leader="dot" w:pos="8250"/>
            </w:tabs>
            <w:rPr>
              <w:b w:val="0"/>
              <w:noProof/>
              <w:szCs w:val="22"/>
            </w:rPr>
          </w:pPr>
          <w:hyperlink w:anchor="_Toc73108678" w:history="1">
            <w:r w:rsidR="00924128" w:rsidRPr="005E553A">
              <w:rPr>
                <w:rStyle w:val="ac"/>
                <w:rFonts w:ascii="Times New Roman" w:hAnsi="Times New Roman"/>
                <w:noProof/>
              </w:rPr>
              <w:t xml:space="preserve">Article 9: </w:t>
            </w:r>
            <w:r w:rsidR="00924128" w:rsidRPr="005E553A">
              <w:rPr>
                <w:rStyle w:val="ac"/>
                <w:rFonts w:ascii="Times New Roman" w:hAnsi="Times New Roman"/>
                <w:bCs/>
                <w:noProof/>
              </w:rPr>
              <w:t>Accessibility</w:t>
            </w:r>
            <w:r w:rsidR="00924128">
              <w:rPr>
                <w:noProof/>
                <w:webHidden/>
              </w:rPr>
              <w:tab/>
            </w:r>
            <w:r w:rsidR="00924128">
              <w:rPr>
                <w:noProof/>
                <w:webHidden/>
              </w:rPr>
              <w:fldChar w:fldCharType="begin"/>
            </w:r>
            <w:r w:rsidR="00924128">
              <w:rPr>
                <w:noProof/>
                <w:webHidden/>
              </w:rPr>
              <w:instrText xml:space="preserve"> PAGEREF _Toc73108678 \h </w:instrText>
            </w:r>
            <w:r w:rsidR="00924128">
              <w:rPr>
                <w:noProof/>
                <w:webHidden/>
              </w:rPr>
            </w:r>
            <w:r w:rsidR="00924128">
              <w:rPr>
                <w:noProof/>
                <w:webHidden/>
              </w:rPr>
              <w:fldChar w:fldCharType="separate"/>
            </w:r>
            <w:r w:rsidR="00F00A73">
              <w:rPr>
                <w:noProof/>
                <w:webHidden/>
              </w:rPr>
              <w:t>37</w:t>
            </w:r>
            <w:r w:rsidR="00924128">
              <w:rPr>
                <w:noProof/>
                <w:webHidden/>
              </w:rPr>
              <w:fldChar w:fldCharType="end"/>
            </w:r>
          </w:hyperlink>
        </w:p>
        <w:p w14:paraId="60A279DD" w14:textId="5988D1A0" w:rsidR="00924128" w:rsidRDefault="00BC35CA">
          <w:pPr>
            <w:pStyle w:val="14"/>
            <w:tabs>
              <w:tab w:val="right" w:leader="dot" w:pos="8250"/>
            </w:tabs>
            <w:rPr>
              <w:b w:val="0"/>
              <w:noProof/>
              <w:szCs w:val="22"/>
            </w:rPr>
          </w:pPr>
          <w:hyperlink w:anchor="_Toc73108679" w:history="1">
            <w:r w:rsidR="00924128" w:rsidRPr="005E553A">
              <w:rPr>
                <w:rStyle w:val="ac"/>
                <w:rFonts w:ascii="Times New Roman" w:hAnsi="Times New Roman"/>
                <w:noProof/>
              </w:rPr>
              <w:t xml:space="preserve">Article 10: </w:t>
            </w:r>
            <w:r w:rsidR="00924128" w:rsidRPr="005E553A">
              <w:rPr>
                <w:rStyle w:val="ac"/>
                <w:rFonts w:ascii="Times New Roman" w:hAnsi="Times New Roman"/>
                <w:bCs/>
                <w:noProof/>
              </w:rPr>
              <w:t>Right to life</w:t>
            </w:r>
            <w:r w:rsidR="00924128">
              <w:rPr>
                <w:noProof/>
                <w:webHidden/>
              </w:rPr>
              <w:tab/>
            </w:r>
            <w:r w:rsidR="00924128">
              <w:rPr>
                <w:noProof/>
                <w:webHidden/>
              </w:rPr>
              <w:fldChar w:fldCharType="begin"/>
            </w:r>
            <w:r w:rsidR="00924128">
              <w:rPr>
                <w:noProof/>
                <w:webHidden/>
              </w:rPr>
              <w:instrText xml:space="preserve"> PAGEREF _Toc73108679 \h </w:instrText>
            </w:r>
            <w:r w:rsidR="00924128">
              <w:rPr>
                <w:noProof/>
                <w:webHidden/>
              </w:rPr>
            </w:r>
            <w:r w:rsidR="00924128">
              <w:rPr>
                <w:noProof/>
                <w:webHidden/>
              </w:rPr>
              <w:fldChar w:fldCharType="separate"/>
            </w:r>
            <w:r w:rsidR="00F00A73">
              <w:rPr>
                <w:noProof/>
                <w:webHidden/>
              </w:rPr>
              <w:t>49</w:t>
            </w:r>
            <w:r w:rsidR="00924128">
              <w:rPr>
                <w:noProof/>
                <w:webHidden/>
              </w:rPr>
              <w:fldChar w:fldCharType="end"/>
            </w:r>
          </w:hyperlink>
        </w:p>
        <w:p w14:paraId="5429F896" w14:textId="4EE2C463" w:rsidR="00924128" w:rsidRDefault="00BC35CA">
          <w:pPr>
            <w:pStyle w:val="14"/>
            <w:tabs>
              <w:tab w:val="right" w:leader="dot" w:pos="8250"/>
            </w:tabs>
            <w:rPr>
              <w:b w:val="0"/>
              <w:noProof/>
              <w:szCs w:val="22"/>
            </w:rPr>
          </w:pPr>
          <w:hyperlink w:anchor="_Toc73108680" w:history="1">
            <w:r w:rsidR="00924128" w:rsidRPr="005E553A">
              <w:rPr>
                <w:rStyle w:val="ac"/>
                <w:rFonts w:ascii="Times New Roman" w:hAnsi="Times New Roman"/>
                <w:noProof/>
              </w:rPr>
              <w:t>Article 11: Disasters and humanitarian emergencies</w:t>
            </w:r>
            <w:r w:rsidR="00924128">
              <w:rPr>
                <w:noProof/>
                <w:webHidden/>
              </w:rPr>
              <w:tab/>
            </w:r>
            <w:r w:rsidR="00924128">
              <w:rPr>
                <w:noProof/>
                <w:webHidden/>
              </w:rPr>
              <w:fldChar w:fldCharType="begin"/>
            </w:r>
            <w:r w:rsidR="00924128">
              <w:rPr>
                <w:noProof/>
                <w:webHidden/>
              </w:rPr>
              <w:instrText xml:space="preserve"> PAGEREF _Toc73108680 \h </w:instrText>
            </w:r>
            <w:r w:rsidR="00924128">
              <w:rPr>
                <w:noProof/>
                <w:webHidden/>
              </w:rPr>
            </w:r>
            <w:r w:rsidR="00924128">
              <w:rPr>
                <w:noProof/>
                <w:webHidden/>
              </w:rPr>
              <w:fldChar w:fldCharType="separate"/>
            </w:r>
            <w:r w:rsidR="00F00A73">
              <w:rPr>
                <w:noProof/>
                <w:webHidden/>
              </w:rPr>
              <w:t>51</w:t>
            </w:r>
            <w:r w:rsidR="00924128">
              <w:rPr>
                <w:noProof/>
                <w:webHidden/>
              </w:rPr>
              <w:fldChar w:fldCharType="end"/>
            </w:r>
          </w:hyperlink>
        </w:p>
        <w:p w14:paraId="69328282" w14:textId="1E9B7D97" w:rsidR="00924128" w:rsidRDefault="00BC35CA">
          <w:pPr>
            <w:pStyle w:val="14"/>
            <w:tabs>
              <w:tab w:val="right" w:leader="dot" w:pos="8250"/>
            </w:tabs>
            <w:rPr>
              <w:b w:val="0"/>
              <w:noProof/>
              <w:szCs w:val="22"/>
            </w:rPr>
          </w:pPr>
          <w:hyperlink w:anchor="_Toc73108681" w:history="1">
            <w:r w:rsidR="00924128" w:rsidRPr="005E553A">
              <w:rPr>
                <w:rStyle w:val="ac"/>
                <w:rFonts w:ascii="Times New Roman" w:hAnsi="Times New Roman"/>
                <w:noProof/>
              </w:rPr>
              <w:t>Article 12: Equal recognition before the law</w:t>
            </w:r>
            <w:r w:rsidR="00924128">
              <w:rPr>
                <w:noProof/>
                <w:webHidden/>
              </w:rPr>
              <w:tab/>
            </w:r>
            <w:r w:rsidR="00924128">
              <w:rPr>
                <w:noProof/>
                <w:webHidden/>
              </w:rPr>
              <w:fldChar w:fldCharType="begin"/>
            </w:r>
            <w:r w:rsidR="00924128">
              <w:rPr>
                <w:noProof/>
                <w:webHidden/>
              </w:rPr>
              <w:instrText xml:space="preserve"> PAGEREF _Toc73108681 \h </w:instrText>
            </w:r>
            <w:r w:rsidR="00924128">
              <w:rPr>
                <w:noProof/>
                <w:webHidden/>
              </w:rPr>
            </w:r>
            <w:r w:rsidR="00924128">
              <w:rPr>
                <w:noProof/>
                <w:webHidden/>
              </w:rPr>
              <w:fldChar w:fldCharType="separate"/>
            </w:r>
            <w:r w:rsidR="00F00A73">
              <w:rPr>
                <w:noProof/>
                <w:webHidden/>
              </w:rPr>
              <w:t>56</w:t>
            </w:r>
            <w:r w:rsidR="00924128">
              <w:rPr>
                <w:noProof/>
                <w:webHidden/>
              </w:rPr>
              <w:fldChar w:fldCharType="end"/>
            </w:r>
          </w:hyperlink>
        </w:p>
        <w:p w14:paraId="51C5A445" w14:textId="0C47496F" w:rsidR="00924128" w:rsidRDefault="00BC35CA">
          <w:pPr>
            <w:pStyle w:val="14"/>
            <w:tabs>
              <w:tab w:val="right" w:leader="dot" w:pos="8250"/>
            </w:tabs>
            <w:rPr>
              <w:b w:val="0"/>
              <w:noProof/>
              <w:szCs w:val="22"/>
            </w:rPr>
          </w:pPr>
          <w:hyperlink w:anchor="_Toc73108682" w:history="1">
            <w:r w:rsidR="00924128" w:rsidRPr="005E553A">
              <w:rPr>
                <w:rStyle w:val="ac"/>
                <w:rFonts w:ascii="Times New Roman" w:hAnsi="Times New Roman"/>
                <w:noProof/>
              </w:rPr>
              <w:t>Article 13: Access to justice</w:t>
            </w:r>
            <w:r w:rsidR="00924128">
              <w:rPr>
                <w:noProof/>
                <w:webHidden/>
              </w:rPr>
              <w:tab/>
            </w:r>
            <w:r w:rsidR="00924128">
              <w:rPr>
                <w:noProof/>
                <w:webHidden/>
              </w:rPr>
              <w:fldChar w:fldCharType="begin"/>
            </w:r>
            <w:r w:rsidR="00924128">
              <w:rPr>
                <w:noProof/>
                <w:webHidden/>
              </w:rPr>
              <w:instrText xml:space="preserve"> PAGEREF _Toc73108682 \h </w:instrText>
            </w:r>
            <w:r w:rsidR="00924128">
              <w:rPr>
                <w:noProof/>
                <w:webHidden/>
              </w:rPr>
            </w:r>
            <w:r w:rsidR="00924128">
              <w:rPr>
                <w:noProof/>
                <w:webHidden/>
              </w:rPr>
              <w:fldChar w:fldCharType="separate"/>
            </w:r>
            <w:r w:rsidR="00F00A73">
              <w:rPr>
                <w:noProof/>
                <w:webHidden/>
              </w:rPr>
              <w:t>58</w:t>
            </w:r>
            <w:r w:rsidR="00924128">
              <w:rPr>
                <w:noProof/>
                <w:webHidden/>
              </w:rPr>
              <w:fldChar w:fldCharType="end"/>
            </w:r>
          </w:hyperlink>
        </w:p>
        <w:p w14:paraId="263BCC40" w14:textId="6BBEE175" w:rsidR="00924128" w:rsidRDefault="00BC35CA">
          <w:pPr>
            <w:pStyle w:val="14"/>
            <w:tabs>
              <w:tab w:val="right" w:leader="dot" w:pos="8250"/>
            </w:tabs>
            <w:rPr>
              <w:b w:val="0"/>
              <w:noProof/>
              <w:szCs w:val="22"/>
            </w:rPr>
          </w:pPr>
          <w:hyperlink w:anchor="_Toc73108683" w:history="1">
            <w:r w:rsidR="00924128" w:rsidRPr="005E553A">
              <w:rPr>
                <w:rStyle w:val="ac"/>
                <w:rFonts w:ascii="Times New Roman" w:hAnsi="Times New Roman"/>
                <w:noProof/>
              </w:rPr>
              <w:t>Article 14: Liberty and the security of the person</w:t>
            </w:r>
            <w:r w:rsidR="00924128">
              <w:rPr>
                <w:noProof/>
                <w:webHidden/>
              </w:rPr>
              <w:tab/>
            </w:r>
            <w:r w:rsidR="00924128">
              <w:rPr>
                <w:noProof/>
                <w:webHidden/>
              </w:rPr>
              <w:fldChar w:fldCharType="begin"/>
            </w:r>
            <w:r w:rsidR="00924128">
              <w:rPr>
                <w:noProof/>
                <w:webHidden/>
              </w:rPr>
              <w:instrText xml:space="preserve"> PAGEREF _Toc73108683 \h </w:instrText>
            </w:r>
            <w:r w:rsidR="00924128">
              <w:rPr>
                <w:noProof/>
                <w:webHidden/>
              </w:rPr>
            </w:r>
            <w:r w:rsidR="00924128">
              <w:rPr>
                <w:noProof/>
                <w:webHidden/>
              </w:rPr>
              <w:fldChar w:fldCharType="separate"/>
            </w:r>
            <w:r w:rsidR="00F00A73">
              <w:rPr>
                <w:noProof/>
                <w:webHidden/>
              </w:rPr>
              <w:t>63</w:t>
            </w:r>
            <w:r w:rsidR="00924128">
              <w:rPr>
                <w:noProof/>
                <w:webHidden/>
              </w:rPr>
              <w:fldChar w:fldCharType="end"/>
            </w:r>
          </w:hyperlink>
        </w:p>
        <w:p w14:paraId="5F177D47" w14:textId="74654E47" w:rsidR="00924128" w:rsidRDefault="00BC35CA">
          <w:pPr>
            <w:pStyle w:val="14"/>
            <w:tabs>
              <w:tab w:val="right" w:leader="dot" w:pos="8250"/>
            </w:tabs>
            <w:rPr>
              <w:b w:val="0"/>
              <w:noProof/>
              <w:szCs w:val="22"/>
            </w:rPr>
          </w:pPr>
          <w:hyperlink w:anchor="_Toc73108684" w:history="1">
            <w:r w:rsidR="00924128" w:rsidRPr="005E553A">
              <w:rPr>
                <w:rStyle w:val="ac"/>
                <w:rFonts w:ascii="Times New Roman" w:hAnsi="Times New Roman"/>
                <w:noProof/>
              </w:rPr>
              <w:t>Article 15: Freedom from torture or cruel, inhumane, or degrading treatment or punishment</w:t>
            </w:r>
            <w:r w:rsidR="00924128">
              <w:rPr>
                <w:noProof/>
                <w:webHidden/>
              </w:rPr>
              <w:tab/>
            </w:r>
            <w:r w:rsidR="00924128">
              <w:rPr>
                <w:noProof/>
                <w:webHidden/>
              </w:rPr>
              <w:fldChar w:fldCharType="begin"/>
            </w:r>
            <w:r w:rsidR="00924128">
              <w:rPr>
                <w:noProof/>
                <w:webHidden/>
              </w:rPr>
              <w:instrText xml:space="preserve"> PAGEREF _Toc73108684 \h </w:instrText>
            </w:r>
            <w:r w:rsidR="00924128">
              <w:rPr>
                <w:noProof/>
                <w:webHidden/>
              </w:rPr>
            </w:r>
            <w:r w:rsidR="00924128">
              <w:rPr>
                <w:noProof/>
                <w:webHidden/>
              </w:rPr>
              <w:fldChar w:fldCharType="separate"/>
            </w:r>
            <w:r w:rsidR="00F00A73">
              <w:rPr>
                <w:noProof/>
                <w:webHidden/>
              </w:rPr>
              <w:t>69</w:t>
            </w:r>
            <w:r w:rsidR="00924128">
              <w:rPr>
                <w:noProof/>
                <w:webHidden/>
              </w:rPr>
              <w:fldChar w:fldCharType="end"/>
            </w:r>
          </w:hyperlink>
        </w:p>
        <w:p w14:paraId="232DF851" w14:textId="6DD69297" w:rsidR="00924128" w:rsidRDefault="00BC35CA">
          <w:pPr>
            <w:pStyle w:val="14"/>
            <w:tabs>
              <w:tab w:val="right" w:leader="dot" w:pos="8250"/>
            </w:tabs>
            <w:rPr>
              <w:b w:val="0"/>
              <w:noProof/>
              <w:szCs w:val="22"/>
            </w:rPr>
          </w:pPr>
          <w:hyperlink w:anchor="_Toc73108685" w:history="1">
            <w:r w:rsidR="00924128" w:rsidRPr="005E553A">
              <w:rPr>
                <w:rStyle w:val="ac"/>
                <w:rFonts w:ascii="Times New Roman" w:hAnsi="Times New Roman"/>
                <w:noProof/>
              </w:rPr>
              <w:t>Article 16: Freedom from exploitation, violence, and abuse</w:t>
            </w:r>
            <w:r w:rsidR="00924128">
              <w:rPr>
                <w:noProof/>
                <w:webHidden/>
              </w:rPr>
              <w:tab/>
            </w:r>
            <w:r w:rsidR="00924128">
              <w:rPr>
                <w:noProof/>
                <w:webHidden/>
              </w:rPr>
              <w:fldChar w:fldCharType="begin"/>
            </w:r>
            <w:r w:rsidR="00924128">
              <w:rPr>
                <w:noProof/>
                <w:webHidden/>
              </w:rPr>
              <w:instrText xml:space="preserve"> PAGEREF _Toc73108685 \h </w:instrText>
            </w:r>
            <w:r w:rsidR="00924128">
              <w:rPr>
                <w:noProof/>
                <w:webHidden/>
              </w:rPr>
            </w:r>
            <w:r w:rsidR="00924128">
              <w:rPr>
                <w:noProof/>
                <w:webHidden/>
              </w:rPr>
              <w:fldChar w:fldCharType="separate"/>
            </w:r>
            <w:r w:rsidR="00F00A73">
              <w:rPr>
                <w:noProof/>
                <w:webHidden/>
              </w:rPr>
              <w:t>71</w:t>
            </w:r>
            <w:r w:rsidR="00924128">
              <w:rPr>
                <w:noProof/>
                <w:webHidden/>
              </w:rPr>
              <w:fldChar w:fldCharType="end"/>
            </w:r>
          </w:hyperlink>
        </w:p>
        <w:p w14:paraId="359C0801" w14:textId="55347F55" w:rsidR="00924128" w:rsidRDefault="00BC35CA">
          <w:pPr>
            <w:pStyle w:val="14"/>
            <w:tabs>
              <w:tab w:val="right" w:leader="dot" w:pos="8250"/>
            </w:tabs>
            <w:rPr>
              <w:b w:val="0"/>
              <w:noProof/>
              <w:szCs w:val="22"/>
            </w:rPr>
          </w:pPr>
          <w:hyperlink w:anchor="_Toc73108686" w:history="1">
            <w:r w:rsidR="00924128" w:rsidRPr="005E553A">
              <w:rPr>
                <w:rStyle w:val="ac"/>
                <w:rFonts w:ascii="Times New Roman" w:hAnsi="Times New Roman"/>
                <w:noProof/>
              </w:rPr>
              <w:t>Article 17: Protecting the integrity of the person</w:t>
            </w:r>
            <w:r w:rsidR="00924128">
              <w:rPr>
                <w:noProof/>
                <w:webHidden/>
              </w:rPr>
              <w:tab/>
            </w:r>
            <w:r w:rsidR="00924128">
              <w:rPr>
                <w:noProof/>
                <w:webHidden/>
              </w:rPr>
              <w:fldChar w:fldCharType="begin"/>
            </w:r>
            <w:r w:rsidR="00924128">
              <w:rPr>
                <w:noProof/>
                <w:webHidden/>
              </w:rPr>
              <w:instrText xml:space="preserve"> PAGEREF _Toc73108686 \h </w:instrText>
            </w:r>
            <w:r w:rsidR="00924128">
              <w:rPr>
                <w:noProof/>
                <w:webHidden/>
              </w:rPr>
            </w:r>
            <w:r w:rsidR="00924128">
              <w:rPr>
                <w:noProof/>
                <w:webHidden/>
              </w:rPr>
              <w:fldChar w:fldCharType="separate"/>
            </w:r>
            <w:r w:rsidR="00F00A73">
              <w:rPr>
                <w:noProof/>
                <w:webHidden/>
              </w:rPr>
              <w:t>80</w:t>
            </w:r>
            <w:r w:rsidR="00924128">
              <w:rPr>
                <w:noProof/>
                <w:webHidden/>
              </w:rPr>
              <w:fldChar w:fldCharType="end"/>
            </w:r>
          </w:hyperlink>
        </w:p>
        <w:p w14:paraId="3DEBDA44" w14:textId="5166460D" w:rsidR="00924128" w:rsidRDefault="00BC35CA">
          <w:pPr>
            <w:pStyle w:val="14"/>
            <w:tabs>
              <w:tab w:val="right" w:leader="dot" w:pos="8250"/>
            </w:tabs>
            <w:rPr>
              <w:b w:val="0"/>
              <w:noProof/>
              <w:szCs w:val="22"/>
            </w:rPr>
          </w:pPr>
          <w:hyperlink w:anchor="_Toc73108687" w:history="1">
            <w:r w:rsidR="00924128" w:rsidRPr="005E553A">
              <w:rPr>
                <w:rStyle w:val="ac"/>
                <w:rFonts w:ascii="Times New Roman" w:hAnsi="Times New Roman"/>
                <w:noProof/>
              </w:rPr>
              <w:t>Article 18: Liberty of movement and nationality</w:t>
            </w:r>
            <w:r w:rsidR="00924128">
              <w:rPr>
                <w:noProof/>
                <w:webHidden/>
              </w:rPr>
              <w:tab/>
            </w:r>
            <w:r w:rsidR="00924128">
              <w:rPr>
                <w:noProof/>
                <w:webHidden/>
              </w:rPr>
              <w:fldChar w:fldCharType="begin"/>
            </w:r>
            <w:r w:rsidR="00924128">
              <w:rPr>
                <w:noProof/>
                <w:webHidden/>
              </w:rPr>
              <w:instrText xml:space="preserve"> PAGEREF _Toc73108687 \h </w:instrText>
            </w:r>
            <w:r w:rsidR="00924128">
              <w:rPr>
                <w:noProof/>
                <w:webHidden/>
              </w:rPr>
            </w:r>
            <w:r w:rsidR="00924128">
              <w:rPr>
                <w:noProof/>
                <w:webHidden/>
              </w:rPr>
              <w:fldChar w:fldCharType="separate"/>
            </w:r>
            <w:r w:rsidR="00F00A73">
              <w:rPr>
                <w:noProof/>
                <w:webHidden/>
              </w:rPr>
              <w:t>81</w:t>
            </w:r>
            <w:r w:rsidR="00924128">
              <w:rPr>
                <w:noProof/>
                <w:webHidden/>
              </w:rPr>
              <w:fldChar w:fldCharType="end"/>
            </w:r>
          </w:hyperlink>
        </w:p>
        <w:p w14:paraId="1C213C9F" w14:textId="4BB7FECC" w:rsidR="00924128" w:rsidRDefault="00BC35CA">
          <w:pPr>
            <w:pStyle w:val="14"/>
            <w:tabs>
              <w:tab w:val="right" w:leader="dot" w:pos="8250"/>
            </w:tabs>
            <w:rPr>
              <w:b w:val="0"/>
              <w:noProof/>
              <w:szCs w:val="22"/>
            </w:rPr>
          </w:pPr>
          <w:hyperlink w:anchor="_Toc73108688" w:history="1">
            <w:r w:rsidR="00924128" w:rsidRPr="005E553A">
              <w:rPr>
                <w:rStyle w:val="ac"/>
                <w:rFonts w:ascii="Times New Roman" w:hAnsi="Times New Roman"/>
                <w:noProof/>
              </w:rPr>
              <w:t>Article 19: Living independently and being included in the community</w:t>
            </w:r>
            <w:r w:rsidR="00924128">
              <w:rPr>
                <w:noProof/>
                <w:webHidden/>
              </w:rPr>
              <w:tab/>
            </w:r>
            <w:r w:rsidR="00924128">
              <w:rPr>
                <w:noProof/>
                <w:webHidden/>
              </w:rPr>
              <w:fldChar w:fldCharType="begin"/>
            </w:r>
            <w:r w:rsidR="00924128">
              <w:rPr>
                <w:noProof/>
                <w:webHidden/>
              </w:rPr>
              <w:instrText xml:space="preserve"> PAGEREF _Toc73108688 \h </w:instrText>
            </w:r>
            <w:r w:rsidR="00924128">
              <w:rPr>
                <w:noProof/>
                <w:webHidden/>
              </w:rPr>
            </w:r>
            <w:r w:rsidR="00924128">
              <w:rPr>
                <w:noProof/>
                <w:webHidden/>
              </w:rPr>
              <w:fldChar w:fldCharType="separate"/>
            </w:r>
            <w:r w:rsidR="00F00A73">
              <w:rPr>
                <w:noProof/>
                <w:webHidden/>
              </w:rPr>
              <w:t>82</w:t>
            </w:r>
            <w:r w:rsidR="00924128">
              <w:rPr>
                <w:noProof/>
                <w:webHidden/>
              </w:rPr>
              <w:fldChar w:fldCharType="end"/>
            </w:r>
          </w:hyperlink>
        </w:p>
        <w:p w14:paraId="421F520A" w14:textId="35182EEA" w:rsidR="00924128" w:rsidRDefault="00BC35CA">
          <w:pPr>
            <w:pStyle w:val="14"/>
            <w:tabs>
              <w:tab w:val="right" w:leader="dot" w:pos="8250"/>
            </w:tabs>
            <w:rPr>
              <w:b w:val="0"/>
              <w:noProof/>
              <w:szCs w:val="22"/>
            </w:rPr>
          </w:pPr>
          <w:hyperlink w:anchor="_Toc73108689" w:history="1">
            <w:r w:rsidR="00924128" w:rsidRPr="005E553A">
              <w:rPr>
                <w:rStyle w:val="ac"/>
                <w:rFonts w:ascii="Times New Roman" w:hAnsi="Times New Roman"/>
                <w:noProof/>
              </w:rPr>
              <w:t>Article 20: Personal mobility</w:t>
            </w:r>
            <w:r w:rsidR="00924128">
              <w:rPr>
                <w:noProof/>
                <w:webHidden/>
              </w:rPr>
              <w:tab/>
            </w:r>
            <w:r w:rsidR="00924128">
              <w:rPr>
                <w:noProof/>
                <w:webHidden/>
              </w:rPr>
              <w:fldChar w:fldCharType="begin"/>
            </w:r>
            <w:r w:rsidR="00924128">
              <w:rPr>
                <w:noProof/>
                <w:webHidden/>
              </w:rPr>
              <w:instrText xml:space="preserve"> PAGEREF _Toc73108689 \h </w:instrText>
            </w:r>
            <w:r w:rsidR="00924128">
              <w:rPr>
                <w:noProof/>
                <w:webHidden/>
              </w:rPr>
            </w:r>
            <w:r w:rsidR="00924128">
              <w:rPr>
                <w:noProof/>
                <w:webHidden/>
              </w:rPr>
              <w:fldChar w:fldCharType="separate"/>
            </w:r>
            <w:r w:rsidR="00F00A73">
              <w:rPr>
                <w:noProof/>
                <w:webHidden/>
              </w:rPr>
              <w:t>90</w:t>
            </w:r>
            <w:r w:rsidR="00924128">
              <w:rPr>
                <w:noProof/>
                <w:webHidden/>
              </w:rPr>
              <w:fldChar w:fldCharType="end"/>
            </w:r>
          </w:hyperlink>
        </w:p>
        <w:p w14:paraId="469B1EE7" w14:textId="66B2C5B7" w:rsidR="00924128" w:rsidRDefault="00BC35CA">
          <w:pPr>
            <w:pStyle w:val="14"/>
            <w:tabs>
              <w:tab w:val="right" w:leader="dot" w:pos="8250"/>
            </w:tabs>
            <w:rPr>
              <w:b w:val="0"/>
              <w:noProof/>
              <w:szCs w:val="22"/>
            </w:rPr>
          </w:pPr>
          <w:hyperlink w:anchor="_Toc73108690" w:history="1">
            <w:r w:rsidR="00924128" w:rsidRPr="005E553A">
              <w:rPr>
                <w:rStyle w:val="ac"/>
                <w:rFonts w:ascii="Times New Roman" w:hAnsi="Times New Roman"/>
                <w:noProof/>
              </w:rPr>
              <w:t>Article 21: Freedom of expression and opinion and access to information</w:t>
            </w:r>
            <w:r w:rsidR="00924128">
              <w:rPr>
                <w:noProof/>
                <w:webHidden/>
              </w:rPr>
              <w:tab/>
            </w:r>
            <w:r w:rsidR="00924128">
              <w:rPr>
                <w:noProof/>
                <w:webHidden/>
              </w:rPr>
              <w:fldChar w:fldCharType="begin"/>
            </w:r>
            <w:r w:rsidR="00924128">
              <w:rPr>
                <w:noProof/>
                <w:webHidden/>
              </w:rPr>
              <w:instrText xml:space="preserve"> PAGEREF _Toc73108690 \h </w:instrText>
            </w:r>
            <w:r w:rsidR="00924128">
              <w:rPr>
                <w:noProof/>
                <w:webHidden/>
              </w:rPr>
            </w:r>
            <w:r w:rsidR="00924128">
              <w:rPr>
                <w:noProof/>
                <w:webHidden/>
              </w:rPr>
              <w:fldChar w:fldCharType="separate"/>
            </w:r>
            <w:r w:rsidR="00F00A73">
              <w:rPr>
                <w:noProof/>
                <w:webHidden/>
              </w:rPr>
              <w:t>96</w:t>
            </w:r>
            <w:r w:rsidR="00924128">
              <w:rPr>
                <w:noProof/>
                <w:webHidden/>
              </w:rPr>
              <w:fldChar w:fldCharType="end"/>
            </w:r>
          </w:hyperlink>
        </w:p>
        <w:p w14:paraId="47FD5285" w14:textId="1056E76C" w:rsidR="00924128" w:rsidRDefault="00BC35CA">
          <w:pPr>
            <w:pStyle w:val="14"/>
            <w:tabs>
              <w:tab w:val="right" w:leader="dot" w:pos="8250"/>
            </w:tabs>
            <w:rPr>
              <w:b w:val="0"/>
              <w:noProof/>
              <w:szCs w:val="22"/>
            </w:rPr>
          </w:pPr>
          <w:hyperlink w:anchor="_Toc73108691" w:history="1">
            <w:r w:rsidR="00924128" w:rsidRPr="005E553A">
              <w:rPr>
                <w:rStyle w:val="ac"/>
                <w:rFonts w:ascii="Times New Roman" w:hAnsi="Times New Roman"/>
                <w:noProof/>
              </w:rPr>
              <w:t>Article 22: Respect for privacy</w:t>
            </w:r>
            <w:r w:rsidR="00924128">
              <w:rPr>
                <w:noProof/>
                <w:webHidden/>
              </w:rPr>
              <w:tab/>
            </w:r>
            <w:r w:rsidR="00924128">
              <w:rPr>
                <w:noProof/>
                <w:webHidden/>
              </w:rPr>
              <w:fldChar w:fldCharType="begin"/>
            </w:r>
            <w:r w:rsidR="00924128">
              <w:rPr>
                <w:noProof/>
                <w:webHidden/>
              </w:rPr>
              <w:instrText xml:space="preserve"> PAGEREF _Toc73108691 \h </w:instrText>
            </w:r>
            <w:r w:rsidR="00924128">
              <w:rPr>
                <w:noProof/>
                <w:webHidden/>
              </w:rPr>
            </w:r>
            <w:r w:rsidR="00924128">
              <w:rPr>
                <w:noProof/>
                <w:webHidden/>
              </w:rPr>
              <w:fldChar w:fldCharType="separate"/>
            </w:r>
            <w:r w:rsidR="00F00A73">
              <w:rPr>
                <w:noProof/>
                <w:webHidden/>
              </w:rPr>
              <w:t>102</w:t>
            </w:r>
            <w:r w:rsidR="00924128">
              <w:rPr>
                <w:noProof/>
                <w:webHidden/>
              </w:rPr>
              <w:fldChar w:fldCharType="end"/>
            </w:r>
          </w:hyperlink>
        </w:p>
        <w:p w14:paraId="5C53808C" w14:textId="3CE4D7B7" w:rsidR="00924128" w:rsidRDefault="00BC35CA">
          <w:pPr>
            <w:pStyle w:val="14"/>
            <w:tabs>
              <w:tab w:val="right" w:leader="dot" w:pos="8250"/>
            </w:tabs>
            <w:rPr>
              <w:b w:val="0"/>
              <w:noProof/>
              <w:szCs w:val="22"/>
            </w:rPr>
          </w:pPr>
          <w:hyperlink w:anchor="_Toc73108692" w:history="1">
            <w:r w:rsidR="00924128" w:rsidRPr="005E553A">
              <w:rPr>
                <w:rStyle w:val="ac"/>
                <w:rFonts w:ascii="Times New Roman" w:hAnsi="Times New Roman"/>
                <w:noProof/>
              </w:rPr>
              <w:t>Article 23: Respect for home and the family</w:t>
            </w:r>
            <w:r w:rsidR="00924128">
              <w:rPr>
                <w:noProof/>
                <w:webHidden/>
              </w:rPr>
              <w:tab/>
            </w:r>
            <w:r w:rsidR="00924128">
              <w:rPr>
                <w:noProof/>
                <w:webHidden/>
              </w:rPr>
              <w:fldChar w:fldCharType="begin"/>
            </w:r>
            <w:r w:rsidR="00924128">
              <w:rPr>
                <w:noProof/>
                <w:webHidden/>
              </w:rPr>
              <w:instrText xml:space="preserve"> PAGEREF _Toc73108692 \h </w:instrText>
            </w:r>
            <w:r w:rsidR="00924128">
              <w:rPr>
                <w:noProof/>
                <w:webHidden/>
              </w:rPr>
            </w:r>
            <w:r w:rsidR="00924128">
              <w:rPr>
                <w:noProof/>
                <w:webHidden/>
              </w:rPr>
              <w:fldChar w:fldCharType="separate"/>
            </w:r>
            <w:r w:rsidR="00F00A73">
              <w:rPr>
                <w:noProof/>
                <w:webHidden/>
              </w:rPr>
              <w:t>106</w:t>
            </w:r>
            <w:r w:rsidR="00924128">
              <w:rPr>
                <w:noProof/>
                <w:webHidden/>
              </w:rPr>
              <w:fldChar w:fldCharType="end"/>
            </w:r>
          </w:hyperlink>
        </w:p>
        <w:p w14:paraId="0A775899" w14:textId="57E266BD" w:rsidR="00924128" w:rsidRDefault="00BC35CA">
          <w:pPr>
            <w:pStyle w:val="14"/>
            <w:tabs>
              <w:tab w:val="right" w:leader="dot" w:pos="8250"/>
            </w:tabs>
            <w:rPr>
              <w:b w:val="0"/>
              <w:noProof/>
              <w:szCs w:val="22"/>
            </w:rPr>
          </w:pPr>
          <w:hyperlink w:anchor="_Toc73108693" w:history="1">
            <w:r w:rsidR="00924128" w:rsidRPr="005E553A">
              <w:rPr>
                <w:rStyle w:val="ac"/>
                <w:rFonts w:ascii="Times New Roman" w:hAnsi="Times New Roman"/>
                <w:noProof/>
              </w:rPr>
              <w:t>Article 24: Education</w:t>
            </w:r>
            <w:r w:rsidR="00924128">
              <w:rPr>
                <w:noProof/>
                <w:webHidden/>
              </w:rPr>
              <w:tab/>
            </w:r>
            <w:r w:rsidR="00924128">
              <w:rPr>
                <w:noProof/>
                <w:webHidden/>
              </w:rPr>
              <w:fldChar w:fldCharType="begin"/>
            </w:r>
            <w:r w:rsidR="00924128">
              <w:rPr>
                <w:noProof/>
                <w:webHidden/>
              </w:rPr>
              <w:instrText xml:space="preserve"> PAGEREF _Toc73108693 \h </w:instrText>
            </w:r>
            <w:r w:rsidR="00924128">
              <w:rPr>
                <w:noProof/>
                <w:webHidden/>
              </w:rPr>
            </w:r>
            <w:r w:rsidR="00924128">
              <w:rPr>
                <w:noProof/>
                <w:webHidden/>
              </w:rPr>
              <w:fldChar w:fldCharType="separate"/>
            </w:r>
            <w:r w:rsidR="00F00A73">
              <w:rPr>
                <w:noProof/>
                <w:webHidden/>
              </w:rPr>
              <w:t>112</w:t>
            </w:r>
            <w:r w:rsidR="00924128">
              <w:rPr>
                <w:noProof/>
                <w:webHidden/>
              </w:rPr>
              <w:fldChar w:fldCharType="end"/>
            </w:r>
          </w:hyperlink>
        </w:p>
        <w:p w14:paraId="1F8EA1FA" w14:textId="22F8C9CA" w:rsidR="00924128" w:rsidRDefault="00BC35CA">
          <w:pPr>
            <w:pStyle w:val="14"/>
            <w:tabs>
              <w:tab w:val="right" w:leader="dot" w:pos="8250"/>
            </w:tabs>
            <w:rPr>
              <w:b w:val="0"/>
              <w:noProof/>
              <w:szCs w:val="22"/>
            </w:rPr>
          </w:pPr>
          <w:hyperlink w:anchor="_Toc73108694" w:history="1">
            <w:r w:rsidR="00924128" w:rsidRPr="005E553A">
              <w:rPr>
                <w:rStyle w:val="ac"/>
                <w:rFonts w:ascii="Times New Roman" w:hAnsi="Times New Roman"/>
                <w:noProof/>
              </w:rPr>
              <w:t>Article 25: Health</w:t>
            </w:r>
            <w:r w:rsidR="00924128">
              <w:rPr>
                <w:noProof/>
                <w:webHidden/>
              </w:rPr>
              <w:tab/>
            </w:r>
            <w:r w:rsidR="00924128">
              <w:rPr>
                <w:noProof/>
                <w:webHidden/>
              </w:rPr>
              <w:fldChar w:fldCharType="begin"/>
            </w:r>
            <w:r w:rsidR="00924128">
              <w:rPr>
                <w:noProof/>
                <w:webHidden/>
              </w:rPr>
              <w:instrText xml:space="preserve"> PAGEREF _Toc73108694 \h </w:instrText>
            </w:r>
            <w:r w:rsidR="00924128">
              <w:rPr>
                <w:noProof/>
                <w:webHidden/>
              </w:rPr>
            </w:r>
            <w:r w:rsidR="00924128">
              <w:rPr>
                <w:noProof/>
                <w:webHidden/>
              </w:rPr>
              <w:fldChar w:fldCharType="separate"/>
            </w:r>
            <w:r w:rsidR="00F00A73">
              <w:rPr>
                <w:noProof/>
                <w:webHidden/>
              </w:rPr>
              <w:t>119</w:t>
            </w:r>
            <w:r w:rsidR="00924128">
              <w:rPr>
                <w:noProof/>
                <w:webHidden/>
              </w:rPr>
              <w:fldChar w:fldCharType="end"/>
            </w:r>
          </w:hyperlink>
        </w:p>
        <w:p w14:paraId="3DE8B6BB" w14:textId="66B94470" w:rsidR="00924128" w:rsidRDefault="00BC35CA">
          <w:pPr>
            <w:pStyle w:val="14"/>
            <w:tabs>
              <w:tab w:val="right" w:leader="dot" w:pos="8250"/>
            </w:tabs>
            <w:rPr>
              <w:b w:val="0"/>
              <w:noProof/>
              <w:szCs w:val="22"/>
            </w:rPr>
          </w:pPr>
          <w:hyperlink w:anchor="_Toc73108695" w:history="1">
            <w:r w:rsidR="00924128" w:rsidRPr="005E553A">
              <w:rPr>
                <w:rStyle w:val="ac"/>
                <w:rFonts w:ascii="Times New Roman" w:hAnsi="Times New Roman"/>
                <w:noProof/>
              </w:rPr>
              <w:t>Article 26: Habilitation and rehabilitation</w:t>
            </w:r>
            <w:r w:rsidR="00924128">
              <w:rPr>
                <w:noProof/>
                <w:webHidden/>
              </w:rPr>
              <w:tab/>
            </w:r>
            <w:r w:rsidR="00924128">
              <w:rPr>
                <w:noProof/>
                <w:webHidden/>
              </w:rPr>
              <w:fldChar w:fldCharType="begin"/>
            </w:r>
            <w:r w:rsidR="00924128">
              <w:rPr>
                <w:noProof/>
                <w:webHidden/>
              </w:rPr>
              <w:instrText xml:space="preserve"> PAGEREF _Toc73108695 \h </w:instrText>
            </w:r>
            <w:r w:rsidR="00924128">
              <w:rPr>
                <w:noProof/>
                <w:webHidden/>
              </w:rPr>
            </w:r>
            <w:r w:rsidR="00924128">
              <w:rPr>
                <w:noProof/>
                <w:webHidden/>
              </w:rPr>
              <w:fldChar w:fldCharType="separate"/>
            </w:r>
            <w:r w:rsidR="00F00A73">
              <w:rPr>
                <w:noProof/>
                <w:webHidden/>
              </w:rPr>
              <w:t>132</w:t>
            </w:r>
            <w:r w:rsidR="00924128">
              <w:rPr>
                <w:noProof/>
                <w:webHidden/>
              </w:rPr>
              <w:fldChar w:fldCharType="end"/>
            </w:r>
          </w:hyperlink>
        </w:p>
        <w:p w14:paraId="23B705A4" w14:textId="5283104D" w:rsidR="00924128" w:rsidRDefault="00BC35CA">
          <w:pPr>
            <w:pStyle w:val="14"/>
            <w:tabs>
              <w:tab w:val="right" w:leader="dot" w:pos="8250"/>
            </w:tabs>
            <w:rPr>
              <w:b w:val="0"/>
              <w:noProof/>
              <w:szCs w:val="22"/>
            </w:rPr>
          </w:pPr>
          <w:hyperlink w:anchor="_Toc73108696" w:history="1">
            <w:r w:rsidR="00924128" w:rsidRPr="005E553A">
              <w:rPr>
                <w:rStyle w:val="ac"/>
                <w:rFonts w:ascii="Times New Roman" w:hAnsi="Times New Roman"/>
                <w:noProof/>
              </w:rPr>
              <w:t>Article 27: Work and employment</w:t>
            </w:r>
            <w:r w:rsidR="00924128">
              <w:rPr>
                <w:noProof/>
                <w:webHidden/>
              </w:rPr>
              <w:tab/>
            </w:r>
            <w:r w:rsidR="00924128">
              <w:rPr>
                <w:noProof/>
                <w:webHidden/>
              </w:rPr>
              <w:fldChar w:fldCharType="begin"/>
            </w:r>
            <w:r w:rsidR="00924128">
              <w:rPr>
                <w:noProof/>
                <w:webHidden/>
              </w:rPr>
              <w:instrText xml:space="preserve"> PAGEREF _Toc73108696 \h </w:instrText>
            </w:r>
            <w:r w:rsidR="00924128">
              <w:rPr>
                <w:noProof/>
                <w:webHidden/>
              </w:rPr>
            </w:r>
            <w:r w:rsidR="00924128">
              <w:rPr>
                <w:noProof/>
                <w:webHidden/>
              </w:rPr>
              <w:fldChar w:fldCharType="separate"/>
            </w:r>
            <w:r w:rsidR="00F00A73">
              <w:rPr>
                <w:noProof/>
                <w:webHidden/>
              </w:rPr>
              <w:t>132</w:t>
            </w:r>
            <w:r w:rsidR="00924128">
              <w:rPr>
                <w:noProof/>
                <w:webHidden/>
              </w:rPr>
              <w:fldChar w:fldCharType="end"/>
            </w:r>
          </w:hyperlink>
        </w:p>
        <w:p w14:paraId="3F603906" w14:textId="3DD657F9" w:rsidR="00924128" w:rsidRDefault="00BC35CA">
          <w:pPr>
            <w:pStyle w:val="14"/>
            <w:tabs>
              <w:tab w:val="right" w:leader="dot" w:pos="8250"/>
            </w:tabs>
            <w:rPr>
              <w:b w:val="0"/>
              <w:noProof/>
              <w:szCs w:val="22"/>
            </w:rPr>
          </w:pPr>
          <w:hyperlink w:anchor="_Toc73108697" w:history="1">
            <w:r w:rsidR="00924128" w:rsidRPr="005E553A">
              <w:rPr>
                <w:rStyle w:val="ac"/>
                <w:rFonts w:ascii="Times New Roman" w:hAnsi="Times New Roman"/>
                <w:noProof/>
              </w:rPr>
              <w:t>Article 28: Adequate standard of living and social protection</w:t>
            </w:r>
            <w:r w:rsidR="00924128">
              <w:rPr>
                <w:noProof/>
                <w:webHidden/>
              </w:rPr>
              <w:tab/>
            </w:r>
            <w:r w:rsidR="00924128">
              <w:rPr>
                <w:noProof/>
                <w:webHidden/>
              </w:rPr>
              <w:fldChar w:fldCharType="begin"/>
            </w:r>
            <w:r w:rsidR="00924128">
              <w:rPr>
                <w:noProof/>
                <w:webHidden/>
              </w:rPr>
              <w:instrText xml:space="preserve"> PAGEREF _Toc73108697 \h </w:instrText>
            </w:r>
            <w:r w:rsidR="00924128">
              <w:rPr>
                <w:noProof/>
                <w:webHidden/>
              </w:rPr>
            </w:r>
            <w:r w:rsidR="00924128">
              <w:rPr>
                <w:noProof/>
                <w:webHidden/>
              </w:rPr>
              <w:fldChar w:fldCharType="separate"/>
            </w:r>
            <w:r w:rsidR="00F00A73">
              <w:rPr>
                <w:noProof/>
                <w:webHidden/>
              </w:rPr>
              <w:t>142</w:t>
            </w:r>
            <w:r w:rsidR="00924128">
              <w:rPr>
                <w:noProof/>
                <w:webHidden/>
              </w:rPr>
              <w:fldChar w:fldCharType="end"/>
            </w:r>
          </w:hyperlink>
        </w:p>
        <w:p w14:paraId="697869DA" w14:textId="446A3E0B" w:rsidR="00924128" w:rsidRDefault="00BC35CA">
          <w:pPr>
            <w:pStyle w:val="14"/>
            <w:tabs>
              <w:tab w:val="right" w:leader="dot" w:pos="8250"/>
            </w:tabs>
            <w:rPr>
              <w:b w:val="0"/>
              <w:noProof/>
              <w:szCs w:val="22"/>
            </w:rPr>
          </w:pPr>
          <w:hyperlink w:anchor="_Toc73108698" w:history="1">
            <w:r w:rsidR="00924128" w:rsidRPr="005E553A">
              <w:rPr>
                <w:rStyle w:val="ac"/>
                <w:rFonts w:ascii="Times New Roman" w:hAnsi="Times New Roman"/>
                <w:noProof/>
              </w:rPr>
              <w:t>Article 29: Participation in political and public life</w:t>
            </w:r>
            <w:r w:rsidR="00924128">
              <w:rPr>
                <w:noProof/>
                <w:webHidden/>
              </w:rPr>
              <w:tab/>
            </w:r>
            <w:r w:rsidR="00924128">
              <w:rPr>
                <w:noProof/>
                <w:webHidden/>
              </w:rPr>
              <w:fldChar w:fldCharType="begin"/>
            </w:r>
            <w:r w:rsidR="00924128">
              <w:rPr>
                <w:noProof/>
                <w:webHidden/>
              </w:rPr>
              <w:instrText xml:space="preserve"> PAGEREF _Toc73108698 \h </w:instrText>
            </w:r>
            <w:r w:rsidR="00924128">
              <w:rPr>
                <w:noProof/>
                <w:webHidden/>
              </w:rPr>
            </w:r>
            <w:r w:rsidR="00924128">
              <w:rPr>
                <w:noProof/>
                <w:webHidden/>
              </w:rPr>
              <w:fldChar w:fldCharType="separate"/>
            </w:r>
            <w:r w:rsidR="00F00A73">
              <w:rPr>
                <w:noProof/>
                <w:webHidden/>
              </w:rPr>
              <w:t>147</w:t>
            </w:r>
            <w:r w:rsidR="00924128">
              <w:rPr>
                <w:noProof/>
                <w:webHidden/>
              </w:rPr>
              <w:fldChar w:fldCharType="end"/>
            </w:r>
          </w:hyperlink>
        </w:p>
        <w:p w14:paraId="4B81C5C2" w14:textId="6D084418" w:rsidR="00924128" w:rsidRDefault="00BC35CA">
          <w:pPr>
            <w:pStyle w:val="14"/>
            <w:tabs>
              <w:tab w:val="right" w:leader="dot" w:pos="8250"/>
            </w:tabs>
            <w:rPr>
              <w:b w:val="0"/>
              <w:noProof/>
              <w:szCs w:val="22"/>
            </w:rPr>
          </w:pPr>
          <w:hyperlink w:anchor="_Toc73108699" w:history="1">
            <w:r w:rsidR="00924128" w:rsidRPr="005E553A">
              <w:rPr>
                <w:rStyle w:val="ac"/>
                <w:rFonts w:ascii="Times New Roman" w:hAnsi="Times New Roman"/>
                <w:noProof/>
              </w:rPr>
              <w:t>Article 30: Participation in cultural life, recreation, leisure, and sport</w:t>
            </w:r>
            <w:r w:rsidR="00924128">
              <w:rPr>
                <w:noProof/>
                <w:webHidden/>
              </w:rPr>
              <w:tab/>
            </w:r>
            <w:r w:rsidR="00924128">
              <w:rPr>
                <w:noProof/>
                <w:webHidden/>
              </w:rPr>
              <w:fldChar w:fldCharType="begin"/>
            </w:r>
            <w:r w:rsidR="00924128">
              <w:rPr>
                <w:noProof/>
                <w:webHidden/>
              </w:rPr>
              <w:instrText xml:space="preserve"> PAGEREF _Toc73108699 \h </w:instrText>
            </w:r>
            <w:r w:rsidR="00924128">
              <w:rPr>
                <w:noProof/>
                <w:webHidden/>
              </w:rPr>
            </w:r>
            <w:r w:rsidR="00924128">
              <w:rPr>
                <w:noProof/>
                <w:webHidden/>
              </w:rPr>
              <w:fldChar w:fldCharType="separate"/>
            </w:r>
            <w:r w:rsidR="00F00A73">
              <w:rPr>
                <w:noProof/>
                <w:webHidden/>
              </w:rPr>
              <w:t>149</w:t>
            </w:r>
            <w:r w:rsidR="00924128">
              <w:rPr>
                <w:noProof/>
                <w:webHidden/>
              </w:rPr>
              <w:fldChar w:fldCharType="end"/>
            </w:r>
          </w:hyperlink>
        </w:p>
        <w:p w14:paraId="4C8C7D17" w14:textId="63D3981D" w:rsidR="00924128" w:rsidRDefault="00BC35CA">
          <w:pPr>
            <w:pStyle w:val="14"/>
            <w:tabs>
              <w:tab w:val="right" w:leader="dot" w:pos="8250"/>
            </w:tabs>
            <w:rPr>
              <w:b w:val="0"/>
              <w:noProof/>
              <w:szCs w:val="22"/>
            </w:rPr>
          </w:pPr>
          <w:hyperlink w:anchor="_Toc73108700" w:history="1">
            <w:r w:rsidR="00924128" w:rsidRPr="005E553A">
              <w:rPr>
                <w:rStyle w:val="ac"/>
                <w:rFonts w:ascii="Times New Roman" w:hAnsi="Times New Roman"/>
                <w:noProof/>
              </w:rPr>
              <w:t>Article 31: Statistics and data collection</w:t>
            </w:r>
            <w:r w:rsidR="00924128">
              <w:rPr>
                <w:noProof/>
                <w:webHidden/>
              </w:rPr>
              <w:tab/>
            </w:r>
            <w:r w:rsidR="00924128">
              <w:rPr>
                <w:noProof/>
                <w:webHidden/>
              </w:rPr>
              <w:fldChar w:fldCharType="begin"/>
            </w:r>
            <w:r w:rsidR="00924128">
              <w:rPr>
                <w:noProof/>
                <w:webHidden/>
              </w:rPr>
              <w:instrText xml:space="preserve"> PAGEREF _Toc73108700 \h </w:instrText>
            </w:r>
            <w:r w:rsidR="00924128">
              <w:rPr>
                <w:noProof/>
                <w:webHidden/>
              </w:rPr>
            </w:r>
            <w:r w:rsidR="00924128">
              <w:rPr>
                <w:noProof/>
                <w:webHidden/>
              </w:rPr>
              <w:fldChar w:fldCharType="separate"/>
            </w:r>
            <w:r w:rsidR="00F00A73">
              <w:rPr>
                <w:noProof/>
                <w:webHidden/>
              </w:rPr>
              <w:t>158</w:t>
            </w:r>
            <w:r w:rsidR="00924128">
              <w:rPr>
                <w:noProof/>
                <w:webHidden/>
              </w:rPr>
              <w:fldChar w:fldCharType="end"/>
            </w:r>
          </w:hyperlink>
        </w:p>
        <w:p w14:paraId="44A7BE7C" w14:textId="60BBC765" w:rsidR="00924128" w:rsidRDefault="00BC35CA">
          <w:pPr>
            <w:pStyle w:val="14"/>
            <w:tabs>
              <w:tab w:val="right" w:leader="dot" w:pos="8250"/>
            </w:tabs>
            <w:rPr>
              <w:b w:val="0"/>
              <w:noProof/>
              <w:szCs w:val="22"/>
            </w:rPr>
          </w:pPr>
          <w:hyperlink w:anchor="_Toc73108701" w:history="1">
            <w:r w:rsidR="00924128" w:rsidRPr="005E553A">
              <w:rPr>
                <w:rStyle w:val="ac"/>
                <w:rFonts w:ascii="Times New Roman" w:hAnsi="Times New Roman"/>
                <w:noProof/>
              </w:rPr>
              <w:t>Article 32: International cooperation</w:t>
            </w:r>
            <w:r w:rsidR="00924128">
              <w:rPr>
                <w:noProof/>
                <w:webHidden/>
              </w:rPr>
              <w:tab/>
            </w:r>
            <w:r w:rsidR="00924128">
              <w:rPr>
                <w:noProof/>
                <w:webHidden/>
              </w:rPr>
              <w:fldChar w:fldCharType="begin"/>
            </w:r>
            <w:r w:rsidR="00924128">
              <w:rPr>
                <w:noProof/>
                <w:webHidden/>
              </w:rPr>
              <w:instrText xml:space="preserve"> PAGEREF _Toc73108701 \h </w:instrText>
            </w:r>
            <w:r w:rsidR="00924128">
              <w:rPr>
                <w:noProof/>
                <w:webHidden/>
              </w:rPr>
            </w:r>
            <w:r w:rsidR="00924128">
              <w:rPr>
                <w:noProof/>
                <w:webHidden/>
              </w:rPr>
              <w:fldChar w:fldCharType="separate"/>
            </w:r>
            <w:r w:rsidR="00F00A73">
              <w:rPr>
                <w:noProof/>
                <w:webHidden/>
              </w:rPr>
              <w:t>159</w:t>
            </w:r>
            <w:r w:rsidR="00924128">
              <w:rPr>
                <w:noProof/>
                <w:webHidden/>
              </w:rPr>
              <w:fldChar w:fldCharType="end"/>
            </w:r>
          </w:hyperlink>
        </w:p>
        <w:p w14:paraId="724380CC" w14:textId="141BDA69" w:rsidR="00924128" w:rsidRDefault="00BC35CA">
          <w:pPr>
            <w:pStyle w:val="14"/>
            <w:tabs>
              <w:tab w:val="right" w:leader="dot" w:pos="8250"/>
            </w:tabs>
            <w:rPr>
              <w:b w:val="0"/>
              <w:noProof/>
              <w:szCs w:val="22"/>
            </w:rPr>
          </w:pPr>
          <w:hyperlink w:anchor="_Toc73108702" w:history="1">
            <w:r w:rsidR="00924128" w:rsidRPr="005E553A">
              <w:rPr>
                <w:rStyle w:val="ac"/>
                <w:rFonts w:ascii="Times New Roman" w:hAnsi="Times New Roman"/>
                <w:noProof/>
              </w:rPr>
              <w:t>Article 33: National implementation and monitoring</w:t>
            </w:r>
            <w:r w:rsidR="00924128">
              <w:rPr>
                <w:noProof/>
                <w:webHidden/>
              </w:rPr>
              <w:tab/>
            </w:r>
            <w:r w:rsidR="00924128">
              <w:rPr>
                <w:noProof/>
                <w:webHidden/>
              </w:rPr>
              <w:fldChar w:fldCharType="begin"/>
            </w:r>
            <w:r w:rsidR="00924128">
              <w:rPr>
                <w:noProof/>
                <w:webHidden/>
              </w:rPr>
              <w:instrText xml:space="preserve"> PAGEREF _Toc73108702 \h </w:instrText>
            </w:r>
            <w:r w:rsidR="00924128">
              <w:rPr>
                <w:noProof/>
                <w:webHidden/>
              </w:rPr>
            </w:r>
            <w:r w:rsidR="00924128">
              <w:rPr>
                <w:noProof/>
                <w:webHidden/>
              </w:rPr>
              <w:fldChar w:fldCharType="separate"/>
            </w:r>
            <w:r w:rsidR="00F00A73">
              <w:rPr>
                <w:noProof/>
                <w:webHidden/>
              </w:rPr>
              <w:t>160</w:t>
            </w:r>
            <w:r w:rsidR="00924128">
              <w:rPr>
                <w:noProof/>
                <w:webHidden/>
              </w:rPr>
              <w:fldChar w:fldCharType="end"/>
            </w:r>
          </w:hyperlink>
        </w:p>
        <w:p w14:paraId="507E8A28" w14:textId="6CE9439A" w:rsidR="007317D6" w:rsidRPr="00885A57" w:rsidRDefault="000B54A0" w:rsidP="001A2139">
          <w:pPr>
            <w:spacing w:line="360" w:lineRule="auto"/>
            <w:rPr>
              <w:rFonts w:ascii="Times New Roman" w:eastAsia="標楷體" w:hAnsi="Times New Roman" w:cs="Times New Roman"/>
            </w:rPr>
          </w:pPr>
          <w:r w:rsidRPr="00885A57">
            <w:rPr>
              <w:rFonts w:ascii="Times New Roman" w:eastAsia="標楷體" w:hAnsi="Times New Roman" w:cs="Times New Roman"/>
              <w:bCs/>
              <w:szCs w:val="24"/>
            </w:rPr>
            <w:fldChar w:fldCharType="end"/>
          </w:r>
        </w:p>
      </w:sdtContent>
    </w:sdt>
    <w:p w14:paraId="21870D67" w14:textId="77777777" w:rsidR="00241CCB" w:rsidRPr="00885A57" w:rsidRDefault="00241CCB" w:rsidP="001A2139">
      <w:pPr>
        <w:pStyle w:val="2"/>
        <w:spacing w:line="360" w:lineRule="auto"/>
        <w:outlineLvl w:val="0"/>
        <w:rPr>
          <w:rFonts w:eastAsia="標楷體"/>
          <w:sz w:val="22"/>
          <w:szCs w:val="24"/>
        </w:rPr>
        <w:sectPr w:rsidR="00241CCB" w:rsidRPr="00885A57" w:rsidSect="000901A9">
          <w:headerReference w:type="default" r:id="rId8"/>
          <w:footerReference w:type="even" r:id="rId9"/>
          <w:footerReference w:type="default" r:id="rId10"/>
          <w:pgSz w:w="11900" w:h="16840" w:code="9"/>
          <w:pgMar w:top="1418" w:right="1797" w:bottom="1270" w:left="1843" w:header="851" w:footer="680" w:gutter="0"/>
          <w:cols w:space="425"/>
          <w:docGrid w:type="lines" w:linePitch="400"/>
        </w:sectPr>
      </w:pPr>
    </w:p>
    <w:p w14:paraId="6BA27BA7" w14:textId="04C55FC4" w:rsidR="00E838AC" w:rsidRPr="00885A57" w:rsidRDefault="00032CC2" w:rsidP="001A2139">
      <w:pPr>
        <w:pStyle w:val="10"/>
        <w:spacing w:line="360" w:lineRule="auto"/>
        <w:rPr>
          <w:rFonts w:ascii="Times New Roman" w:hAnsi="Times New Roman"/>
        </w:rPr>
      </w:pPr>
      <w:bookmarkStart w:id="5" w:name="_Toc73108672"/>
      <w:bookmarkStart w:id="6" w:name="_Toc32243235"/>
      <w:bookmarkStart w:id="7" w:name="_Toc32322740"/>
      <w:r w:rsidRPr="00885A57">
        <w:rPr>
          <w:rFonts w:ascii="Times New Roman" w:hAnsi="Times New Roman"/>
        </w:rPr>
        <w:lastRenderedPageBreak/>
        <w:t>Abbreviations</w:t>
      </w:r>
      <w:bookmarkEnd w:id="5"/>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709"/>
      </w:tblGrid>
      <w:tr w:rsidR="004B169E" w:rsidRPr="00885A57" w14:paraId="091BB6A5" w14:textId="77777777" w:rsidTr="00AC406E">
        <w:tc>
          <w:tcPr>
            <w:tcW w:w="2547" w:type="dxa"/>
          </w:tcPr>
          <w:p w14:paraId="536EA8FB" w14:textId="110D734E" w:rsidR="00E838AC" w:rsidRPr="00885A57" w:rsidRDefault="00CD2CF1" w:rsidP="001A2139">
            <w:pPr>
              <w:spacing w:line="360" w:lineRule="auto"/>
              <w:ind w:leftChars="-45" w:left="-108"/>
              <w:rPr>
                <w:rFonts w:ascii="Times New Roman" w:eastAsia="標楷體" w:hAnsi="Times New Roman" w:cs="Times New Roman"/>
              </w:rPr>
            </w:pPr>
            <w:r w:rsidRPr="00885A57">
              <w:rPr>
                <w:rFonts w:ascii="Times New Roman" w:eastAsia="標楷體" w:hAnsi="Times New Roman" w:cs="Times New Roman"/>
              </w:rPr>
              <w:t>APP</w:t>
            </w:r>
          </w:p>
        </w:tc>
        <w:tc>
          <w:tcPr>
            <w:tcW w:w="5709" w:type="dxa"/>
          </w:tcPr>
          <w:p w14:paraId="57559400" w14:textId="21059F99" w:rsidR="00E838AC" w:rsidRPr="00885A57" w:rsidRDefault="008B26A9" w:rsidP="001A2139">
            <w:pPr>
              <w:spacing w:line="360" w:lineRule="auto"/>
              <w:rPr>
                <w:rFonts w:ascii="Times New Roman" w:eastAsia="標楷體" w:hAnsi="Times New Roman" w:cs="Times New Roman"/>
              </w:rPr>
            </w:pPr>
            <w:r w:rsidRPr="00885A57">
              <w:rPr>
                <w:rFonts w:ascii="Times New Roman" w:eastAsia="標楷體" w:hAnsi="Times New Roman" w:cs="Times New Roman"/>
                <w:szCs w:val="24"/>
              </w:rPr>
              <w:t>Application</w:t>
            </w:r>
          </w:p>
        </w:tc>
      </w:tr>
      <w:tr w:rsidR="004B169E" w:rsidRPr="00885A57" w14:paraId="06E7FBEB" w14:textId="77777777" w:rsidTr="00AC406E">
        <w:tc>
          <w:tcPr>
            <w:tcW w:w="2547" w:type="dxa"/>
          </w:tcPr>
          <w:p w14:paraId="073A87F9" w14:textId="2EB1F070" w:rsidR="00E838AC" w:rsidRPr="00885A57" w:rsidRDefault="00CD2CF1" w:rsidP="001A2139">
            <w:pPr>
              <w:spacing w:line="360" w:lineRule="auto"/>
              <w:ind w:leftChars="-45" w:left="-108"/>
              <w:rPr>
                <w:rFonts w:ascii="Times New Roman" w:eastAsia="標楷體" w:hAnsi="Times New Roman" w:cs="Times New Roman"/>
              </w:rPr>
            </w:pPr>
            <w:r w:rsidRPr="00885A57">
              <w:rPr>
                <w:rFonts w:ascii="Times New Roman" w:eastAsia="標楷體" w:hAnsi="Times New Roman" w:cs="Times New Roman"/>
              </w:rPr>
              <w:t>ATM</w:t>
            </w:r>
          </w:p>
        </w:tc>
        <w:tc>
          <w:tcPr>
            <w:tcW w:w="5709" w:type="dxa"/>
          </w:tcPr>
          <w:p w14:paraId="6B7F1F7D" w14:textId="21ECDB1A" w:rsidR="00E838AC" w:rsidRPr="00F370E0" w:rsidRDefault="00624EE3">
            <w:pPr>
              <w:spacing w:line="360" w:lineRule="auto"/>
              <w:rPr>
                <w:rFonts w:ascii="Times New Roman" w:eastAsia="標楷體" w:hAnsi="Times New Roman" w:cs="Times New Roman"/>
                <w:szCs w:val="24"/>
                <w:highlight w:val="yellow"/>
              </w:rPr>
            </w:pPr>
            <w:r w:rsidRPr="00624EE3">
              <w:rPr>
                <w:rFonts w:ascii="Times New Roman" w:eastAsia="標楷體" w:hAnsi="Times New Roman" w:cs="Times New Roman"/>
                <w:szCs w:val="24"/>
              </w:rPr>
              <w:t>Automat</w:t>
            </w:r>
            <w:r w:rsidRPr="00F370E0">
              <w:rPr>
                <w:rFonts w:ascii="Times New Roman" w:eastAsia="標楷體" w:hAnsi="Times New Roman" w:cs="Times New Roman"/>
                <w:szCs w:val="24"/>
              </w:rPr>
              <w:t>ed</w:t>
            </w:r>
            <w:r w:rsidRPr="00624EE3">
              <w:rPr>
                <w:rFonts w:ascii="Times New Roman" w:eastAsia="標楷體" w:hAnsi="Times New Roman" w:cs="Times New Roman"/>
                <w:szCs w:val="24"/>
              </w:rPr>
              <w:t xml:space="preserve"> </w:t>
            </w:r>
            <w:r w:rsidR="008B26A9" w:rsidRPr="00624EE3">
              <w:rPr>
                <w:rFonts w:ascii="Times New Roman" w:eastAsia="標楷體" w:hAnsi="Times New Roman" w:cs="Times New Roman"/>
                <w:szCs w:val="24"/>
              </w:rPr>
              <w:t>teller machine</w:t>
            </w:r>
          </w:p>
        </w:tc>
      </w:tr>
      <w:tr w:rsidR="0021173A" w:rsidRPr="00885A57" w14:paraId="12E6EC0E" w14:textId="77777777" w:rsidTr="00AC406E">
        <w:tc>
          <w:tcPr>
            <w:tcW w:w="2547" w:type="dxa"/>
          </w:tcPr>
          <w:p w14:paraId="3F529BF0" w14:textId="4E13C87F" w:rsidR="0021173A" w:rsidRPr="00885A57" w:rsidRDefault="0021173A" w:rsidP="001A2139">
            <w:pPr>
              <w:spacing w:line="360" w:lineRule="auto"/>
              <w:ind w:leftChars="-45" w:left="-108"/>
              <w:rPr>
                <w:rFonts w:ascii="Times New Roman" w:eastAsia="標楷體" w:hAnsi="Times New Roman" w:cs="Times New Roman"/>
              </w:rPr>
            </w:pPr>
            <w:r>
              <w:rPr>
                <w:rFonts w:ascii="Times New Roman" w:eastAsia="標楷體" w:hAnsi="Times New Roman" w:cs="Times New Roman" w:hint="eastAsia"/>
              </w:rPr>
              <w:t>B</w:t>
            </w:r>
            <w:r>
              <w:rPr>
                <w:rFonts w:ascii="Times New Roman" w:eastAsia="標楷體" w:hAnsi="Times New Roman" w:cs="Times New Roman"/>
              </w:rPr>
              <w:t>ARC</w:t>
            </w:r>
          </w:p>
        </w:tc>
        <w:tc>
          <w:tcPr>
            <w:tcW w:w="5709" w:type="dxa"/>
          </w:tcPr>
          <w:p w14:paraId="5F351802" w14:textId="739FE259" w:rsidR="0021173A" w:rsidRPr="00885A57" w:rsidRDefault="00EF5ED3" w:rsidP="001A2139">
            <w:pPr>
              <w:spacing w:line="360" w:lineRule="auto"/>
              <w:rPr>
                <w:rFonts w:ascii="Times New Roman" w:eastAsia="標楷體" w:hAnsi="Times New Roman" w:cs="Times New Roman"/>
                <w:szCs w:val="24"/>
              </w:rPr>
            </w:pPr>
            <w:r w:rsidRPr="00885A57">
              <w:rPr>
                <w:rFonts w:ascii="Times New Roman" w:eastAsia="標楷體" w:hAnsi="Times New Roman" w:cs="Times New Roman"/>
                <w:szCs w:val="24"/>
              </w:rPr>
              <w:t>Bankers Association of the Republic of China</w:t>
            </w:r>
          </w:p>
        </w:tc>
      </w:tr>
      <w:tr w:rsidR="004B169E" w:rsidRPr="00885A57" w14:paraId="6691FF41" w14:textId="77777777" w:rsidTr="00AC406E">
        <w:tc>
          <w:tcPr>
            <w:tcW w:w="2547" w:type="dxa"/>
          </w:tcPr>
          <w:p w14:paraId="0CB82371" w14:textId="6EABE6B1" w:rsidR="00E838AC" w:rsidRPr="00885A57" w:rsidRDefault="00E838AC" w:rsidP="001A2139">
            <w:pPr>
              <w:spacing w:line="360" w:lineRule="auto"/>
              <w:ind w:leftChars="-45" w:left="-108"/>
              <w:rPr>
                <w:rFonts w:ascii="Times New Roman" w:eastAsia="標楷體" w:hAnsi="Times New Roman" w:cs="Times New Roman"/>
              </w:rPr>
            </w:pPr>
            <w:r w:rsidRPr="00885A57">
              <w:rPr>
                <w:rFonts w:ascii="Times New Roman" w:eastAsia="標楷體" w:hAnsi="Times New Roman" w:cs="Times New Roman"/>
              </w:rPr>
              <w:t>CEDA</w:t>
            </w:r>
            <w:r w:rsidR="00CD2CF1" w:rsidRPr="00885A57">
              <w:rPr>
                <w:rFonts w:ascii="Times New Roman" w:eastAsia="標楷體" w:hAnsi="Times New Roman" w:cs="Times New Roman"/>
              </w:rPr>
              <w:t>W</w:t>
            </w:r>
          </w:p>
        </w:tc>
        <w:tc>
          <w:tcPr>
            <w:tcW w:w="5709" w:type="dxa"/>
          </w:tcPr>
          <w:p w14:paraId="0F345AF4" w14:textId="5EC93664" w:rsidR="00E838AC" w:rsidRPr="00885A57" w:rsidRDefault="008B26A9" w:rsidP="001A2139">
            <w:pPr>
              <w:spacing w:line="360" w:lineRule="auto"/>
              <w:rPr>
                <w:rFonts w:ascii="Times New Roman" w:eastAsia="標楷體" w:hAnsi="Times New Roman" w:cs="Times New Roman"/>
              </w:rPr>
            </w:pPr>
            <w:r w:rsidRPr="00885A57">
              <w:rPr>
                <w:rFonts w:ascii="Times New Roman" w:eastAsia="標楷體" w:hAnsi="Times New Roman" w:cs="Times New Roman"/>
              </w:rPr>
              <w:t>Convention on the Elimination of All Forms of Discrimination Against Women</w:t>
            </w:r>
          </w:p>
        </w:tc>
      </w:tr>
      <w:tr w:rsidR="008542BB" w:rsidRPr="00885A57" w14:paraId="57937696" w14:textId="77777777" w:rsidTr="00AC406E">
        <w:tc>
          <w:tcPr>
            <w:tcW w:w="2547" w:type="dxa"/>
          </w:tcPr>
          <w:p w14:paraId="65D67312" w14:textId="39A082DB" w:rsidR="008542BB" w:rsidRPr="00885A57" w:rsidRDefault="008542BB" w:rsidP="001A2139">
            <w:pPr>
              <w:spacing w:line="360" w:lineRule="auto"/>
              <w:ind w:leftChars="-45" w:left="-108"/>
              <w:rPr>
                <w:rFonts w:ascii="Times New Roman" w:eastAsia="標楷體" w:hAnsi="Times New Roman" w:cs="Times New Roman"/>
              </w:rPr>
            </w:pPr>
            <w:r>
              <w:rPr>
                <w:rFonts w:ascii="Times New Roman" w:eastAsia="標楷體" w:hAnsi="Times New Roman" w:cs="Times New Roman" w:hint="eastAsia"/>
              </w:rPr>
              <w:t>C</w:t>
            </w:r>
            <w:r>
              <w:rPr>
                <w:rFonts w:ascii="Times New Roman" w:eastAsia="標楷體" w:hAnsi="Times New Roman" w:cs="Times New Roman"/>
              </w:rPr>
              <w:t>PRPD</w:t>
            </w:r>
          </w:p>
        </w:tc>
        <w:tc>
          <w:tcPr>
            <w:tcW w:w="5709" w:type="dxa"/>
          </w:tcPr>
          <w:p w14:paraId="6F096C7A" w14:textId="05136BA4" w:rsidR="008542BB" w:rsidRPr="00885A57" w:rsidRDefault="008542BB" w:rsidP="001A2139">
            <w:pPr>
              <w:spacing w:line="360" w:lineRule="auto"/>
              <w:rPr>
                <w:rFonts w:ascii="Times New Roman" w:eastAsia="標楷體" w:hAnsi="Times New Roman" w:cs="Times New Roman"/>
              </w:rPr>
            </w:pPr>
            <w:r>
              <w:rPr>
                <w:rFonts w:ascii="Times New Roman" w:eastAsia="標楷體" w:hAnsi="Times New Roman" w:cs="Times New Roman" w:hint="eastAsia"/>
              </w:rPr>
              <w:t>C</w:t>
            </w:r>
            <w:r>
              <w:rPr>
                <w:rFonts w:ascii="Times New Roman" w:eastAsia="標楷體" w:hAnsi="Times New Roman" w:cs="Times New Roman"/>
              </w:rPr>
              <w:t>ommittee for the Promotion of the Rights of People with Disabilities</w:t>
            </w:r>
          </w:p>
        </w:tc>
      </w:tr>
      <w:tr w:rsidR="004B169E" w:rsidRPr="00885A57" w14:paraId="3466B2ED" w14:textId="77777777" w:rsidTr="00AC406E">
        <w:tc>
          <w:tcPr>
            <w:tcW w:w="2547" w:type="dxa"/>
          </w:tcPr>
          <w:p w14:paraId="09FA5ECC" w14:textId="3D3F74F5" w:rsidR="00E838AC" w:rsidRPr="00885A57" w:rsidRDefault="00CD2CF1" w:rsidP="001A2139">
            <w:pPr>
              <w:spacing w:line="360" w:lineRule="auto"/>
              <w:ind w:leftChars="-45" w:left="-108"/>
              <w:rPr>
                <w:rFonts w:ascii="Times New Roman" w:eastAsia="標楷體" w:hAnsi="Times New Roman" w:cs="Times New Roman"/>
              </w:rPr>
            </w:pPr>
            <w:r w:rsidRPr="00885A57">
              <w:rPr>
                <w:rFonts w:ascii="Times New Roman" w:eastAsia="標楷體" w:hAnsi="Times New Roman" w:cs="Times New Roman"/>
              </w:rPr>
              <w:t>CRPD</w:t>
            </w:r>
          </w:p>
        </w:tc>
        <w:tc>
          <w:tcPr>
            <w:tcW w:w="5709" w:type="dxa"/>
          </w:tcPr>
          <w:p w14:paraId="65136716" w14:textId="072BDAC3" w:rsidR="00E838AC" w:rsidRPr="00885A57" w:rsidRDefault="008B26A9" w:rsidP="001A2139">
            <w:pPr>
              <w:spacing w:line="360" w:lineRule="auto"/>
              <w:rPr>
                <w:rFonts w:ascii="Times New Roman" w:eastAsia="標楷體" w:hAnsi="Times New Roman" w:cs="Times New Roman"/>
              </w:rPr>
            </w:pPr>
            <w:r w:rsidRPr="00885A57">
              <w:rPr>
                <w:rFonts w:ascii="Times New Roman" w:eastAsia="標楷體" w:hAnsi="Times New Roman" w:cs="Times New Roman"/>
              </w:rPr>
              <w:t>Convention on the Rights of Persons with Disabilities</w:t>
            </w:r>
          </w:p>
        </w:tc>
      </w:tr>
      <w:tr w:rsidR="008542BB" w:rsidRPr="00885A57" w14:paraId="5AFB4A6E" w14:textId="77777777" w:rsidTr="00AC406E">
        <w:tc>
          <w:tcPr>
            <w:tcW w:w="2547" w:type="dxa"/>
          </w:tcPr>
          <w:p w14:paraId="1F41122D" w14:textId="17BBD007" w:rsidR="008542BB" w:rsidRPr="00885A57" w:rsidRDefault="008542BB" w:rsidP="001A2139">
            <w:pPr>
              <w:spacing w:line="360" w:lineRule="auto"/>
              <w:ind w:leftChars="-45" w:left="-108"/>
              <w:rPr>
                <w:rFonts w:ascii="Times New Roman" w:eastAsia="標楷體" w:hAnsi="Times New Roman" w:cs="Times New Roman"/>
              </w:rPr>
            </w:pPr>
            <w:r w:rsidRPr="00885A57">
              <w:rPr>
                <w:rFonts w:ascii="Times New Roman" w:eastAsia="標楷體" w:hAnsi="Times New Roman" w:cs="Times New Roman"/>
              </w:rPr>
              <w:t>CYDs</w:t>
            </w:r>
          </w:p>
        </w:tc>
        <w:tc>
          <w:tcPr>
            <w:tcW w:w="5709" w:type="dxa"/>
          </w:tcPr>
          <w:p w14:paraId="1E631A79" w14:textId="68497019" w:rsidR="008542BB" w:rsidRPr="00885A57" w:rsidRDefault="008542BB" w:rsidP="001A2139">
            <w:pPr>
              <w:spacing w:line="360" w:lineRule="auto"/>
              <w:rPr>
                <w:rFonts w:ascii="Times New Roman" w:eastAsia="標楷體" w:hAnsi="Times New Roman" w:cs="Times New Roman"/>
              </w:rPr>
            </w:pPr>
            <w:r w:rsidRPr="00885A57">
              <w:rPr>
                <w:rFonts w:ascii="Times New Roman" w:eastAsia="標楷體" w:hAnsi="Times New Roman" w:cs="Times New Roman"/>
              </w:rPr>
              <w:t>Children and youth with disabilities</w:t>
            </w:r>
          </w:p>
        </w:tc>
      </w:tr>
      <w:tr w:rsidR="0021173A" w:rsidRPr="00885A57" w14:paraId="48863762" w14:textId="77777777" w:rsidTr="00AC406E">
        <w:tc>
          <w:tcPr>
            <w:tcW w:w="2547" w:type="dxa"/>
          </w:tcPr>
          <w:p w14:paraId="60874A88" w14:textId="3AB1E2AB" w:rsidR="0021173A" w:rsidRPr="00885A57" w:rsidRDefault="0021173A" w:rsidP="001A2139">
            <w:pPr>
              <w:spacing w:line="360" w:lineRule="auto"/>
              <w:ind w:leftChars="-45" w:left="-108"/>
              <w:rPr>
                <w:rFonts w:ascii="Times New Roman" w:eastAsia="標楷體" w:hAnsi="Times New Roman" w:cs="Times New Roman"/>
              </w:rPr>
            </w:pPr>
            <w:r>
              <w:rPr>
                <w:rFonts w:ascii="Times New Roman" w:eastAsia="標楷體" w:hAnsi="Times New Roman" w:cs="Times New Roman"/>
              </w:rPr>
              <w:t>DPO</w:t>
            </w:r>
            <w:r>
              <w:rPr>
                <w:rFonts w:ascii="Times New Roman" w:eastAsia="標楷體" w:hAnsi="Times New Roman" w:cs="Times New Roman" w:hint="eastAsia"/>
              </w:rPr>
              <w:t>s</w:t>
            </w:r>
          </w:p>
        </w:tc>
        <w:tc>
          <w:tcPr>
            <w:tcW w:w="5709" w:type="dxa"/>
          </w:tcPr>
          <w:p w14:paraId="414328EF" w14:textId="01061EC7" w:rsidR="0021173A" w:rsidRPr="00F370E0" w:rsidRDefault="00883A0A" w:rsidP="001A2139">
            <w:pPr>
              <w:spacing w:line="360" w:lineRule="auto"/>
              <w:rPr>
                <w:rFonts w:ascii="Times New Roman" w:eastAsia="標楷體" w:hAnsi="Times New Roman" w:cs="Times New Roman"/>
                <w:highlight w:val="yellow"/>
              </w:rPr>
            </w:pPr>
            <w:r>
              <w:rPr>
                <w:rFonts w:ascii="Times New Roman" w:eastAsia="標楷體" w:hAnsi="Times New Roman" w:cs="Times New Roman"/>
                <w:szCs w:val="24"/>
              </w:rPr>
              <w:t>Disabled people’s organizations</w:t>
            </w:r>
          </w:p>
        </w:tc>
      </w:tr>
      <w:tr w:rsidR="0021173A" w:rsidRPr="00885A57" w14:paraId="40B4409C" w14:textId="77777777" w:rsidTr="00AC406E">
        <w:tc>
          <w:tcPr>
            <w:tcW w:w="2547" w:type="dxa"/>
          </w:tcPr>
          <w:p w14:paraId="34058F23" w14:textId="06DE6481" w:rsidR="0021173A" w:rsidRDefault="0021173A" w:rsidP="001A2139">
            <w:pPr>
              <w:spacing w:line="360" w:lineRule="auto"/>
              <w:ind w:leftChars="-45" w:left="-108"/>
              <w:rPr>
                <w:rFonts w:ascii="Times New Roman" w:eastAsia="標楷體" w:hAnsi="Times New Roman" w:cs="Times New Roman"/>
              </w:rPr>
            </w:pPr>
            <w:r>
              <w:rPr>
                <w:rFonts w:ascii="Times New Roman" w:eastAsia="標楷體" w:hAnsi="Times New Roman" w:cs="Times New Roman" w:hint="eastAsia"/>
              </w:rPr>
              <w:t>F</w:t>
            </w:r>
            <w:r>
              <w:rPr>
                <w:rFonts w:ascii="Times New Roman" w:eastAsia="標楷體" w:hAnsi="Times New Roman" w:cs="Times New Roman"/>
              </w:rPr>
              <w:t>SC</w:t>
            </w:r>
          </w:p>
        </w:tc>
        <w:tc>
          <w:tcPr>
            <w:tcW w:w="5709" w:type="dxa"/>
          </w:tcPr>
          <w:p w14:paraId="5450F42D" w14:textId="5E99EB09" w:rsidR="0021173A" w:rsidRPr="00885A57" w:rsidRDefault="00704D80" w:rsidP="001A2139">
            <w:pPr>
              <w:spacing w:line="360" w:lineRule="auto"/>
              <w:rPr>
                <w:rFonts w:ascii="Times New Roman" w:eastAsia="標楷體" w:hAnsi="Times New Roman" w:cs="Times New Roman"/>
              </w:rPr>
            </w:pPr>
            <w:r w:rsidRPr="00885A57">
              <w:rPr>
                <w:rFonts w:ascii="Times New Roman" w:eastAsia="標楷體" w:hAnsi="Times New Roman" w:cs="Times New Roman"/>
                <w:szCs w:val="24"/>
              </w:rPr>
              <w:t>Financial Supervisory Commission</w:t>
            </w:r>
          </w:p>
        </w:tc>
      </w:tr>
      <w:tr w:rsidR="004B169E" w:rsidRPr="00885A57" w14:paraId="5C0EC366" w14:textId="77777777" w:rsidTr="00AC406E">
        <w:tc>
          <w:tcPr>
            <w:tcW w:w="2547" w:type="dxa"/>
          </w:tcPr>
          <w:p w14:paraId="7155087C" w14:textId="526BF5B2" w:rsidR="00E838AC" w:rsidRPr="00885A57" w:rsidRDefault="00CD2CF1" w:rsidP="001A2139">
            <w:pPr>
              <w:spacing w:line="360" w:lineRule="auto"/>
              <w:ind w:leftChars="-45" w:left="-108"/>
              <w:rPr>
                <w:rFonts w:ascii="Times New Roman" w:eastAsia="標楷體" w:hAnsi="Times New Roman" w:cs="Times New Roman"/>
              </w:rPr>
            </w:pPr>
            <w:r w:rsidRPr="00885A57">
              <w:rPr>
                <w:rFonts w:ascii="Times New Roman" w:eastAsia="標楷體" w:hAnsi="Times New Roman" w:cs="Times New Roman"/>
              </w:rPr>
              <w:t>ICF</w:t>
            </w:r>
          </w:p>
        </w:tc>
        <w:tc>
          <w:tcPr>
            <w:tcW w:w="5709" w:type="dxa"/>
          </w:tcPr>
          <w:p w14:paraId="663360A0" w14:textId="3451299D" w:rsidR="00E838AC" w:rsidRPr="00885A57" w:rsidRDefault="008B26A9" w:rsidP="001A2139">
            <w:pPr>
              <w:spacing w:line="360" w:lineRule="auto"/>
              <w:rPr>
                <w:rFonts w:ascii="Times New Roman" w:eastAsia="標楷體" w:hAnsi="Times New Roman" w:cs="Times New Roman"/>
              </w:rPr>
            </w:pPr>
            <w:r w:rsidRPr="00885A57">
              <w:rPr>
                <w:rFonts w:ascii="Times New Roman" w:eastAsia="標楷體" w:hAnsi="Times New Roman" w:cs="Times New Roman"/>
              </w:rPr>
              <w:t>International Classification of Functioning, Disability and Health</w:t>
            </w:r>
          </w:p>
        </w:tc>
      </w:tr>
      <w:tr w:rsidR="004B169E" w:rsidRPr="00885A57" w14:paraId="2F0D4132" w14:textId="77777777" w:rsidTr="00AC406E">
        <w:tc>
          <w:tcPr>
            <w:tcW w:w="2547" w:type="dxa"/>
          </w:tcPr>
          <w:p w14:paraId="3D6B01C3" w14:textId="0EFB0F65" w:rsidR="00E838AC" w:rsidRPr="00885A57" w:rsidRDefault="00CD2CF1" w:rsidP="001A2139">
            <w:pPr>
              <w:spacing w:line="360" w:lineRule="auto"/>
              <w:ind w:leftChars="-45" w:left="-108"/>
              <w:rPr>
                <w:rFonts w:ascii="Times New Roman" w:eastAsia="標楷體" w:hAnsi="Times New Roman" w:cs="Times New Roman"/>
              </w:rPr>
            </w:pPr>
            <w:r w:rsidRPr="00885A57">
              <w:rPr>
                <w:rFonts w:ascii="Times New Roman" w:eastAsia="標楷體" w:hAnsi="Times New Roman" w:cs="Times New Roman"/>
              </w:rPr>
              <w:t>IEP</w:t>
            </w:r>
          </w:p>
        </w:tc>
        <w:tc>
          <w:tcPr>
            <w:tcW w:w="5709" w:type="dxa"/>
          </w:tcPr>
          <w:p w14:paraId="4D2F6A49" w14:textId="2588AC87" w:rsidR="00E838AC" w:rsidRPr="00885A57" w:rsidRDefault="008B26A9" w:rsidP="001A2139">
            <w:pPr>
              <w:spacing w:line="360" w:lineRule="auto"/>
              <w:rPr>
                <w:rFonts w:ascii="Times New Roman" w:eastAsia="標楷體" w:hAnsi="Times New Roman" w:cs="Times New Roman"/>
              </w:rPr>
            </w:pPr>
            <w:r w:rsidRPr="00885A57">
              <w:rPr>
                <w:rFonts w:ascii="Times New Roman" w:eastAsia="標楷體" w:hAnsi="Times New Roman" w:cs="Times New Roman"/>
              </w:rPr>
              <w:t>Individualized education plan</w:t>
            </w:r>
          </w:p>
        </w:tc>
      </w:tr>
      <w:tr w:rsidR="008542BB" w:rsidRPr="00885A57" w14:paraId="66CEABF3" w14:textId="77777777" w:rsidTr="00AC406E">
        <w:tc>
          <w:tcPr>
            <w:tcW w:w="2547" w:type="dxa"/>
          </w:tcPr>
          <w:p w14:paraId="043D07C7" w14:textId="7332C563" w:rsidR="008542BB" w:rsidRPr="00885A57" w:rsidRDefault="008542BB" w:rsidP="001A2139">
            <w:pPr>
              <w:spacing w:line="360" w:lineRule="auto"/>
              <w:ind w:leftChars="-45" w:left="-108"/>
              <w:rPr>
                <w:rFonts w:ascii="Times New Roman" w:eastAsia="標楷體" w:hAnsi="Times New Roman" w:cs="Times New Roman"/>
              </w:rPr>
            </w:pPr>
            <w:r w:rsidRPr="00885A57">
              <w:t>LTCSA</w:t>
            </w:r>
          </w:p>
        </w:tc>
        <w:tc>
          <w:tcPr>
            <w:tcW w:w="5709" w:type="dxa"/>
          </w:tcPr>
          <w:p w14:paraId="34602094" w14:textId="186CBF4A" w:rsidR="008542BB" w:rsidRPr="00885A57" w:rsidRDefault="008542BB" w:rsidP="001A2139">
            <w:pPr>
              <w:spacing w:line="360" w:lineRule="auto"/>
              <w:rPr>
                <w:rFonts w:ascii="Times New Roman" w:eastAsia="標楷體" w:hAnsi="Times New Roman" w:cs="Times New Roman"/>
              </w:rPr>
            </w:pPr>
            <w:r w:rsidRPr="00885A57">
              <w:rPr>
                <w:rFonts w:ascii="Times New Roman" w:eastAsia="標楷體" w:hAnsi="Times New Roman" w:cs="Times New Roman"/>
              </w:rPr>
              <w:t>Long-Term Care Services Act</w:t>
            </w:r>
          </w:p>
        </w:tc>
      </w:tr>
      <w:tr w:rsidR="0021173A" w:rsidRPr="00885A57" w14:paraId="2E9DF3C1" w14:textId="77777777" w:rsidTr="00AC406E">
        <w:tc>
          <w:tcPr>
            <w:tcW w:w="2547" w:type="dxa"/>
          </w:tcPr>
          <w:p w14:paraId="5D46A77E" w14:textId="7670B768" w:rsidR="0021173A" w:rsidRPr="00885A57" w:rsidRDefault="0021173A" w:rsidP="001A2139">
            <w:pPr>
              <w:spacing w:line="360" w:lineRule="auto"/>
              <w:ind w:leftChars="-45" w:left="-108"/>
            </w:pPr>
            <w:r>
              <w:rPr>
                <w:rFonts w:hint="eastAsia"/>
              </w:rPr>
              <w:t>M</w:t>
            </w:r>
            <w:r>
              <w:t>OC</w:t>
            </w:r>
          </w:p>
        </w:tc>
        <w:tc>
          <w:tcPr>
            <w:tcW w:w="5709" w:type="dxa"/>
          </w:tcPr>
          <w:p w14:paraId="7A948422" w14:textId="416EB3AB" w:rsidR="0021173A" w:rsidRPr="00885A57" w:rsidRDefault="00704D80" w:rsidP="001A2139">
            <w:pPr>
              <w:spacing w:line="360" w:lineRule="auto"/>
              <w:rPr>
                <w:rFonts w:ascii="Times New Roman" w:eastAsia="標楷體" w:hAnsi="Times New Roman" w:cs="Times New Roman"/>
              </w:rPr>
            </w:pPr>
            <w:r w:rsidRPr="00885A57">
              <w:rPr>
                <w:rFonts w:ascii="Times New Roman" w:eastAsia="標楷體" w:hAnsi="Times New Roman" w:cs="Times New Roman"/>
                <w:szCs w:val="24"/>
              </w:rPr>
              <w:t>Ministry of Culture</w:t>
            </w:r>
          </w:p>
        </w:tc>
      </w:tr>
      <w:tr w:rsidR="0021173A" w:rsidRPr="00885A57" w14:paraId="4424FF7D" w14:textId="77777777" w:rsidTr="00AC406E">
        <w:tc>
          <w:tcPr>
            <w:tcW w:w="2547" w:type="dxa"/>
          </w:tcPr>
          <w:p w14:paraId="4BAF3295" w14:textId="498C5696" w:rsidR="0021173A" w:rsidRPr="00885A57" w:rsidRDefault="0021173A" w:rsidP="001A2139">
            <w:pPr>
              <w:spacing w:line="360" w:lineRule="auto"/>
              <w:ind w:leftChars="-45" w:left="-108"/>
            </w:pPr>
            <w:r>
              <w:rPr>
                <w:rFonts w:hint="eastAsia"/>
              </w:rPr>
              <w:t>M</w:t>
            </w:r>
            <w:r>
              <w:t>OE</w:t>
            </w:r>
          </w:p>
        </w:tc>
        <w:tc>
          <w:tcPr>
            <w:tcW w:w="5709" w:type="dxa"/>
          </w:tcPr>
          <w:p w14:paraId="1B346575" w14:textId="21EE0EAE" w:rsidR="0021173A" w:rsidRPr="00885A57" w:rsidRDefault="00704D80" w:rsidP="001A2139">
            <w:pPr>
              <w:spacing w:line="360" w:lineRule="auto"/>
              <w:rPr>
                <w:rFonts w:ascii="Times New Roman" w:eastAsia="標楷體" w:hAnsi="Times New Roman" w:cs="Times New Roman"/>
              </w:rPr>
            </w:pPr>
            <w:r w:rsidRPr="00885A57">
              <w:rPr>
                <w:rFonts w:ascii="Times New Roman" w:eastAsia="標楷體" w:hAnsi="Times New Roman" w:cs="Times New Roman"/>
                <w:szCs w:val="24"/>
              </w:rPr>
              <w:t>Ministry of Education</w:t>
            </w:r>
          </w:p>
        </w:tc>
      </w:tr>
      <w:tr w:rsidR="0021173A" w:rsidRPr="00885A57" w14:paraId="28DE6E28" w14:textId="77777777" w:rsidTr="00AC406E">
        <w:tc>
          <w:tcPr>
            <w:tcW w:w="2547" w:type="dxa"/>
          </w:tcPr>
          <w:p w14:paraId="6C543823" w14:textId="0B059A7D" w:rsidR="0021173A" w:rsidRPr="00885A57" w:rsidRDefault="0021173A" w:rsidP="001A2139">
            <w:pPr>
              <w:spacing w:line="360" w:lineRule="auto"/>
              <w:ind w:leftChars="-45" w:left="-108"/>
            </w:pPr>
            <w:r>
              <w:t>MOHW</w:t>
            </w:r>
          </w:p>
        </w:tc>
        <w:tc>
          <w:tcPr>
            <w:tcW w:w="5709" w:type="dxa"/>
          </w:tcPr>
          <w:p w14:paraId="75FA92CB" w14:textId="688AD47B" w:rsidR="0021173A" w:rsidRPr="00885A57" w:rsidRDefault="00704D80" w:rsidP="001A2139">
            <w:pPr>
              <w:spacing w:line="360" w:lineRule="auto"/>
              <w:rPr>
                <w:rFonts w:ascii="Times New Roman" w:eastAsia="標楷體" w:hAnsi="Times New Roman" w:cs="Times New Roman"/>
              </w:rPr>
            </w:pPr>
            <w:r w:rsidRPr="00885A57">
              <w:rPr>
                <w:rFonts w:ascii="Times New Roman" w:eastAsia="標楷體" w:hAnsi="Times New Roman" w:cs="Times New Roman"/>
                <w:szCs w:val="28"/>
              </w:rPr>
              <w:t>Ministry of Health and Welfare</w:t>
            </w:r>
          </w:p>
        </w:tc>
      </w:tr>
      <w:tr w:rsidR="0021173A" w:rsidRPr="00885A57" w14:paraId="3A52F821" w14:textId="77777777" w:rsidTr="00AC406E">
        <w:tc>
          <w:tcPr>
            <w:tcW w:w="2547" w:type="dxa"/>
          </w:tcPr>
          <w:p w14:paraId="2248518D" w14:textId="0A353873" w:rsidR="0021173A" w:rsidRPr="00885A57" w:rsidRDefault="0021173A" w:rsidP="001A2139">
            <w:pPr>
              <w:spacing w:line="360" w:lineRule="auto"/>
              <w:ind w:leftChars="-45" w:left="-108"/>
            </w:pPr>
            <w:r>
              <w:rPr>
                <w:rFonts w:hint="eastAsia"/>
              </w:rPr>
              <w:t>M</w:t>
            </w:r>
            <w:r>
              <w:t>OI</w:t>
            </w:r>
          </w:p>
        </w:tc>
        <w:tc>
          <w:tcPr>
            <w:tcW w:w="5709" w:type="dxa"/>
          </w:tcPr>
          <w:p w14:paraId="4B6D473E" w14:textId="1DD030A1" w:rsidR="0021173A" w:rsidRPr="00885A57" w:rsidRDefault="0021195B" w:rsidP="001A2139">
            <w:pPr>
              <w:spacing w:line="360" w:lineRule="auto"/>
              <w:rPr>
                <w:rFonts w:ascii="Times New Roman" w:eastAsia="標楷體" w:hAnsi="Times New Roman" w:cs="Times New Roman"/>
              </w:rPr>
            </w:pPr>
            <w:r w:rsidRPr="00885A57">
              <w:rPr>
                <w:rFonts w:ascii="Times New Roman" w:eastAsia="標楷體" w:hAnsi="Times New Roman" w:cs="Times New Roman"/>
              </w:rPr>
              <w:t>Ministry of the Interior</w:t>
            </w:r>
          </w:p>
        </w:tc>
      </w:tr>
      <w:tr w:rsidR="0021173A" w:rsidRPr="00885A57" w14:paraId="1825F21C" w14:textId="77777777" w:rsidTr="00AC406E">
        <w:tc>
          <w:tcPr>
            <w:tcW w:w="2547" w:type="dxa"/>
          </w:tcPr>
          <w:p w14:paraId="4C8F53C4" w14:textId="376682E9" w:rsidR="0021173A" w:rsidRPr="00885A57" w:rsidRDefault="0021173A" w:rsidP="001A2139">
            <w:pPr>
              <w:spacing w:line="360" w:lineRule="auto"/>
              <w:ind w:leftChars="-45" w:left="-108"/>
            </w:pPr>
            <w:r>
              <w:rPr>
                <w:rFonts w:hint="eastAsia"/>
              </w:rPr>
              <w:t>M</w:t>
            </w:r>
            <w:r>
              <w:t>OJ</w:t>
            </w:r>
          </w:p>
        </w:tc>
        <w:tc>
          <w:tcPr>
            <w:tcW w:w="5709" w:type="dxa"/>
          </w:tcPr>
          <w:p w14:paraId="318D6344" w14:textId="1330EF49" w:rsidR="0021173A" w:rsidRPr="00885A57" w:rsidRDefault="0021195B" w:rsidP="001A2139">
            <w:pPr>
              <w:spacing w:line="360" w:lineRule="auto"/>
              <w:rPr>
                <w:rFonts w:ascii="Times New Roman" w:eastAsia="標楷體" w:hAnsi="Times New Roman" w:cs="Times New Roman"/>
              </w:rPr>
            </w:pPr>
            <w:r w:rsidRPr="00885A57">
              <w:rPr>
                <w:rFonts w:ascii="Times New Roman" w:eastAsia="標楷體" w:hAnsi="Times New Roman" w:cs="Times New Roman"/>
                <w:szCs w:val="24"/>
              </w:rPr>
              <w:t>Ministry of Justice</w:t>
            </w:r>
          </w:p>
        </w:tc>
      </w:tr>
      <w:tr w:rsidR="0021173A" w:rsidRPr="00885A57" w14:paraId="10A5E26A" w14:textId="77777777" w:rsidTr="00AC406E">
        <w:tc>
          <w:tcPr>
            <w:tcW w:w="2547" w:type="dxa"/>
          </w:tcPr>
          <w:p w14:paraId="055143A0" w14:textId="47F65CCF" w:rsidR="0021173A" w:rsidRPr="00885A57" w:rsidRDefault="0021173A" w:rsidP="001A2139">
            <w:pPr>
              <w:spacing w:line="360" w:lineRule="auto"/>
              <w:ind w:leftChars="-45" w:left="-108"/>
            </w:pPr>
            <w:r>
              <w:rPr>
                <w:rFonts w:hint="eastAsia"/>
              </w:rPr>
              <w:t>M</w:t>
            </w:r>
            <w:r>
              <w:t>OL</w:t>
            </w:r>
          </w:p>
        </w:tc>
        <w:tc>
          <w:tcPr>
            <w:tcW w:w="5709" w:type="dxa"/>
          </w:tcPr>
          <w:p w14:paraId="199BFF82" w14:textId="0508F5C4" w:rsidR="0021173A" w:rsidRPr="00885A57" w:rsidRDefault="0021195B" w:rsidP="001A2139">
            <w:pPr>
              <w:spacing w:line="360" w:lineRule="auto"/>
              <w:rPr>
                <w:rFonts w:ascii="Times New Roman" w:eastAsia="標楷體" w:hAnsi="Times New Roman" w:cs="Times New Roman"/>
              </w:rPr>
            </w:pPr>
            <w:r w:rsidRPr="00885A57">
              <w:rPr>
                <w:rFonts w:ascii="Times New Roman" w:eastAsia="標楷體" w:hAnsi="Times New Roman" w:cs="Times New Roman"/>
                <w:szCs w:val="24"/>
              </w:rPr>
              <w:t>Ministry of Labor</w:t>
            </w:r>
          </w:p>
        </w:tc>
      </w:tr>
      <w:tr w:rsidR="0021173A" w:rsidRPr="00885A57" w14:paraId="7E1040FB" w14:textId="77777777" w:rsidTr="00AC406E">
        <w:tc>
          <w:tcPr>
            <w:tcW w:w="2547" w:type="dxa"/>
          </w:tcPr>
          <w:p w14:paraId="7ED40218" w14:textId="4638B849" w:rsidR="0021173A" w:rsidRDefault="0021173A" w:rsidP="001A2139">
            <w:pPr>
              <w:spacing w:line="360" w:lineRule="auto"/>
              <w:ind w:leftChars="-45" w:left="-108"/>
            </w:pPr>
            <w:r>
              <w:rPr>
                <w:rFonts w:hint="eastAsia"/>
              </w:rPr>
              <w:t>M</w:t>
            </w:r>
            <w:r>
              <w:t>OTC</w:t>
            </w:r>
          </w:p>
        </w:tc>
        <w:tc>
          <w:tcPr>
            <w:tcW w:w="5709" w:type="dxa"/>
          </w:tcPr>
          <w:p w14:paraId="26614E94" w14:textId="7B528B49" w:rsidR="0021173A" w:rsidRPr="00885A57" w:rsidRDefault="0021195B" w:rsidP="001A2139">
            <w:pPr>
              <w:spacing w:line="360" w:lineRule="auto"/>
              <w:rPr>
                <w:rFonts w:ascii="Times New Roman" w:eastAsia="標楷體" w:hAnsi="Times New Roman" w:cs="Times New Roman"/>
              </w:rPr>
            </w:pPr>
            <w:r w:rsidRPr="00885A57">
              <w:rPr>
                <w:rFonts w:ascii="Times New Roman" w:eastAsia="標楷體" w:hAnsi="Times New Roman" w:cs="Times New Roman"/>
                <w:szCs w:val="24"/>
              </w:rPr>
              <w:t>Ministry of Transportation and Communications</w:t>
            </w:r>
          </w:p>
        </w:tc>
      </w:tr>
      <w:tr w:rsidR="004B169E" w:rsidRPr="00885A57" w14:paraId="7980EB2E" w14:textId="77777777" w:rsidTr="00AC406E">
        <w:tc>
          <w:tcPr>
            <w:tcW w:w="2547" w:type="dxa"/>
          </w:tcPr>
          <w:p w14:paraId="2A8AEA5D" w14:textId="67C35EA6" w:rsidR="00E838AC" w:rsidRPr="00885A57" w:rsidRDefault="00CD2CF1" w:rsidP="001A2139">
            <w:pPr>
              <w:spacing w:line="360" w:lineRule="auto"/>
              <w:ind w:leftChars="-45" w:left="-108"/>
              <w:rPr>
                <w:rFonts w:ascii="Times New Roman" w:eastAsia="標楷體" w:hAnsi="Times New Roman" w:cs="Times New Roman"/>
              </w:rPr>
            </w:pPr>
            <w:r w:rsidRPr="00885A57">
              <w:rPr>
                <w:rFonts w:ascii="Times New Roman" w:eastAsia="標楷體" w:hAnsi="Times New Roman" w:cs="Times New Roman"/>
              </w:rPr>
              <w:lastRenderedPageBreak/>
              <w:t>NGO</w:t>
            </w:r>
          </w:p>
        </w:tc>
        <w:tc>
          <w:tcPr>
            <w:tcW w:w="5709" w:type="dxa"/>
          </w:tcPr>
          <w:p w14:paraId="2E4DCB67" w14:textId="7FACBAF3" w:rsidR="00E838AC" w:rsidRPr="00885A57" w:rsidRDefault="008B26A9">
            <w:pPr>
              <w:spacing w:line="360" w:lineRule="auto"/>
              <w:rPr>
                <w:rFonts w:ascii="Times New Roman" w:eastAsia="標楷體" w:hAnsi="Times New Roman" w:cs="Times New Roman"/>
              </w:rPr>
            </w:pPr>
            <w:r w:rsidRPr="00885A57">
              <w:rPr>
                <w:rFonts w:ascii="Times New Roman" w:eastAsia="標楷體" w:hAnsi="Times New Roman" w:cs="Times New Roman"/>
              </w:rPr>
              <w:t>Non</w:t>
            </w:r>
            <w:r w:rsidR="003E6F92">
              <w:rPr>
                <w:rFonts w:ascii="Times New Roman" w:eastAsia="標楷體" w:hAnsi="Times New Roman" w:cs="Times New Roman"/>
              </w:rPr>
              <w:t>government</w:t>
            </w:r>
            <w:r w:rsidR="00931A86">
              <w:rPr>
                <w:rFonts w:ascii="Times New Roman" w:eastAsia="標楷體" w:hAnsi="Times New Roman" w:cs="Times New Roman" w:hint="eastAsia"/>
              </w:rPr>
              <w:t>al</w:t>
            </w:r>
            <w:r w:rsidRPr="00885A57">
              <w:rPr>
                <w:rFonts w:ascii="Times New Roman" w:eastAsia="標楷體" w:hAnsi="Times New Roman" w:cs="Times New Roman"/>
              </w:rPr>
              <w:t xml:space="preserve"> organization</w:t>
            </w:r>
          </w:p>
        </w:tc>
      </w:tr>
      <w:tr w:rsidR="0021173A" w:rsidRPr="00885A57" w14:paraId="681EB154" w14:textId="77777777" w:rsidTr="00AC406E">
        <w:tc>
          <w:tcPr>
            <w:tcW w:w="2547" w:type="dxa"/>
          </w:tcPr>
          <w:p w14:paraId="19420339" w14:textId="70B2867D" w:rsidR="0021173A" w:rsidRPr="00885A57" w:rsidRDefault="0021173A" w:rsidP="001A2139">
            <w:pPr>
              <w:spacing w:line="360" w:lineRule="auto"/>
              <w:ind w:leftChars="-45" w:left="-108"/>
              <w:rPr>
                <w:rFonts w:ascii="Times New Roman" w:eastAsia="標楷體" w:hAnsi="Times New Roman" w:cs="Times New Roman"/>
              </w:rPr>
            </w:pPr>
            <w:r>
              <w:rPr>
                <w:rFonts w:ascii="Times New Roman" w:eastAsia="標楷體" w:hAnsi="Times New Roman" w:cs="Times New Roman" w:hint="eastAsia"/>
              </w:rPr>
              <w:t>N</w:t>
            </w:r>
            <w:r>
              <w:rPr>
                <w:rFonts w:ascii="Times New Roman" w:eastAsia="標楷體" w:hAnsi="Times New Roman" w:cs="Times New Roman"/>
              </w:rPr>
              <w:t>HI</w:t>
            </w:r>
          </w:p>
        </w:tc>
        <w:tc>
          <w:tcPr>
            <w:tcW w:w="5709" w:type="dxa"/>
          </w:tcPr>
          <w:p w14:paraId="14825C61" w14:textId="46EB3A13" w:rsidR="0021173A" w:rsidRPr="00885A57" w:rsidRDefault="0021195B" w:rsidP="001A2139">
            <w:pPr>
              <w:spacing w:line="360" w:lineRule="auto"/>
              <w:rPr>
                <w:rFonts w:ascii="Times New Roman" w:eastAsia="標楷體" w:hAnsi="Times New Roman" w:cs="Times New Roman"/>
              </w:rPr>
            </w:pPr>
            <w:r w:rsidRPr="00885A57">
              <w:rPr>
                <w:rFonts w:ascii="Times New Roman" w:eastAsia="標楷體" w:hAnsi="Times New Roman" w:cs="Times New Roman"/>
                <w:szCs w:val="28"/>
              </w:rPr>
              <w:t>National Health Insurance</w:t>
            </w:r>
          </w:p>
        </w:tc>
      </w:tr>
      <w:tr w:rsidR="004B169E" w:rsidRPr="00885A57" w14:paraId="6AE825F4" w14:textId="77777777" w:rsidTr="00AC406E">
        <w:tc>
          <w:tcPr>
            <w:tcW w:w="2547" w:type="dxa"/>
          </w:tcPr>
          <w:p w14:paraId="61CB4FD3" w14:textId="10C94761" w:rsidR="00E838AC" w:rsidRPr="00885A57" w:rsidRDefault="008542BB" w:rsidP="001A2139">
            <w:pPr>
              <w:spacing w:line="360" w:lineRule="auto"/>
              <w:ind w:leftChars="-45" w:left="-108"/>
              <w:rPr>
                <w:rFonts w:ascii="Times New Roman" w:eastAsia="標楷體" w:hAnsi="Times New Roman" w:cs="Times New Roman"/>
              </w:rPr>
            </w:pPr>
            <w:r w:rsidRPr="00885A57">
              <w:t>PCYWRA</w:t>
            </w:r>
          </w:p>
        </w:tc>
        <w:tc>
          <w:tcPr>
            <w:tcW w:w="5709" w:type="dxa"/>
          </w:tcPr>
          <w:p w14:paraId="4FC24544" w14:textId="4A1D9090" w:rsidR="00E838AC" w:rsidRPr="00624EE3" w:rsidRDefault="008542BB" w:rsidP="001A2139">
            <w:pPr>
              <w:spacing w:line="360" w:lineRule="auto"/>
              <w:rPr>
                <w:rFonts w:ascii="Times New Roman" w:eastAsia="標楷體" w:hAnsi="Times New Roman" w:cs="Times New Roman"/>
              </w:rPr>
            </w:pPr>
            <w:r w:rsidRPr="00624EE3">
              <w:rPr>
                <w:rFonts w:ascii="Times New Roman" w:eastAsia="標楷體" w:hAnsi="Times New Roman" w:cs="Times New Roman"/>
              </w:rPr>
              <w:t>The Protection of Children and Youths Welfare and Rights Act</w:t>
            </w:r>
          </w:p>
        </w:tc>
      </w:tr>
      <w:tr w:rsidR="008542BB" w:rsidRPr="00885A57" w14:paraId="67678474" w14:textId="77777777" w:rsidTr="00AC406E">
        <w:tc>
          <w:tcPr>
            <w:tcW w:w="2547" w:type="dxa"/>
          </w:tcPr>
          <w:p w14:paraId="17731866" w14:textId="02AF1E89" w:rsidR="008542BB" w:rsidRPr="00885A57" w:rsidRDefault="008542BB" w:rsidP="001A2139">
            <w:pPr>
              <w:spacing w:line="360" w:lineRule="auto"/>
              <w:ind w:leftChars="-45" w:left="-108"/>
              <w:rPr>
                <w:rFonts w:ascii="Times New Roman" w:eastAsia="標楷體" w:hAnsi="Times New Roman" w:cs="Times New Roman"/>
              </w:rPr>
            </w:pPr>
            <w:r w:rsidRPr="00885A57">
              <w:t>PDPA</w:t>
            </w:r>
          </w:p>
        </w:tc>
        <w:tc>
          <w:tcPr>
            <w:tcW w:w="5709" w:type="dxa"/>
          </w:tcPr>
          <w:p w14:paraId="357BBF52" w14:textId="13EE79A0" w:rsidR="008542BB" w:rsidRPr="00885A57" w:rsidRDefault="008542BB" w:rsidP="001A2139">
            <w:pPr>
              <w:spacing w:line="360" w:lineRule="auto"/>
              <w:rPr>
                <w:rFonts w:ascii="Times New Roman" w:eastAsia="標楷體" w:hAnsi="Times New Roman" w:cs="Times New Roman"/>
              </w:rPr>
            </w:pPr>
            <w:r w:rsidRPr="00885A57">
              <w:rPr>
                <w:rFonts w:ascii="Times New Roman" w:eastAsia="標楷體" w:hAnsi="Times New Roman" w:cs="Times New Roman"/>
              </w:rPr>
              <w:t>Personal Data Protection Act</w:t>
            </w:r>
          </w:p>
        </w:tc>
      </w:tr>
      <w:tr w:rsidR="008B26A9" w:rsidRPr="00885A57" w14:paraId="20FAD5A9" w14:textId="77777777" w:rsidTr="00AC406E">
        <w:tc>
          <w:tcPr>
            <w:tcW w:w="2547" w:type="dxa"/>
          </w:tcPr>
          <w:p w14:paraId="1163125D" w14:textId="5284C03A" w:rsidR="008B26A9" w:rsidRPr="00885A57" w:rsidRDefault="008B26A9" w:rsidP="001A2139">
            <w:pPr>
              <w:spacing w:line="360" w:lineRule="auto"/>
              <w:ind w:leftChars="-45" w:left="-108"/>
              <w:rPr>
                <w:rFonts w:ascii="Times New Roman" w:eastAsia="標楷體" w:hAnsi="Times New Roman" w:cs="Times New Roman"/>
              </w:rPr>
            </w:pPr>
            <w:r w:rsidRPr="00885A57">
              <w:t>PDRPA</w:t>
            </w:r>
          </w:p>
        </w:tc>
        <w:tc>
          <w:tcPr>
            <w:tcW w:w="5709" w:type="dxa"/>
          </w:tcPr>
          <w:p w14:paraId="20C42CE3" w14:textId="2384A34A" w:rsidR="008B26A9" w:rsidRPr="00885A57" w:rsidRDefault="008B26A9" w:rsidP="001A2139">
            <w:pPr>
              <w:spacing w:line="360" w:lineRule="auto"/>
              <w:rPr>
                <w:rFonts w:ascii="Times New Roman" w:eastAsia="標楷體" w:hAnsi="Times New Roman" w:cs="Times New Roman"/>
              </w:rPr>
            </w:pPr>
            <w:r w:rsidRPr="00885A57">
              <w:rPr>
                <w:rFonts w:ascii="Times New Roman" w:eastAsia="標楷體" w:hAnsi="Times New Roman" w:cs="Times New Roman"/>
              </w:rPr>
              <w:t>People with Disabilities Rights Protection Act</w:t>
            </w:r>
          </w:p>
        </w:tc>
      </w:tr>
      <w:tr w:rsidR="008B26A9" w:rsidRPr="00885A57" w14:paraId="79313049" w14:textId="77777777" w:rsidTr="00AC406E">
        <w:tc>
          <w:tcPr>
            <w:tcW w:w="2547" w:type="dxa"/>
          </w:tcPr>
          <w:p w14:paraId="20C1C181" w14:textId="2246C762" w:rsidR="008B26A9" w:rsidRPr="00885A57" w:rsidRDefault="008542BB" w:rsidP="001A2139">
            <w:pPr>
              <w:spacing w:line="360" w:lineRule="auto"/>
              <w:ind w:leftChars="-45" w:left="-108"/>
              <w:rPr>
                <w:rFonts w:ascii="Times New Roman" w:eastAsia="標楷體" w:hAnsi="Times New Roman" w:cs="Times New Roman"/>
              </w:rPr>
            </w:pPr>
            <w:r w:rsidRPr="00885A57">
              <w:rPr>
                <w:rFonts w:ascii="Times New Roman" w:eastAsia="標楷體" w:hAnsi="Times New Roman" w:cs="Times New Roman"/>
              </w:rPr>
              <w:t>SDGs</w:t>
            </w:r>
          </w:p>
        </w:tc>
        <w:tc>
          <w:tcPr>
            <w:tcW w:w="5709" w:type="dxa"/>
          </w:tcPr>
          <w:p w14:paraId="44292304" w14:textId="5BEC375F" w:rsidR="008B26A9" w:rsidRPr="00885A57" w:rsidRDefault="008542BB" w:rsidP="001A2139">
            <w:pPr>
              <w:spacing w:line="360" w:lineRule="auto"/>
              <w:rPr>
                <w:rFonts w:ascii="Times New Roman" w:eastAsia="標楷體" w:hAnsi="Times New Roman" w:cs="Times New Roman"/>
              </w:rPr>
            </w:pPr>
            <w:r w:rsidRPr="00885A57">
              <w:rPr>
                <w:rFonts w:ascii="Times New Roman" w:eastAsia="標楷體" w:hAnsi="Times New Roman" w:cs="Times New Roman"/>
              </w:rPr>
              <w:t>Sustainable Development Goals</w:t>
            </w:r>
          </w:p>
        </w:tc>
      </w:tr>
      <w:tr w:rsidR="008B26A9" w:rsidRPr="00885A57" w14:paraId="04DD771B" w14:textId="77777777" w:rsidTr="00AC406E">
        <w:tc>
          <w:tcPr>
            <w:tcW w:w="2547" w:type="dxa"/>
          </w:tcPr>
          <w:p w14:paraId="6F164692" w14:textId="69485874" w:rsidR="008B26A9" w:rsidRPr="00885A57" w:rsidRDefault="008B26A9" w:rsidP="001A2139">
            <w:pPr>
              <w:spacing w:line="360" w:lineRule="auto"/>
              <w:ind w:leftChars="-45" w:left="-108"/>
              <w:rPr>
                <w:rFonts w:ascii="Times New Roman" w:eastAsia="標楷體" w:hAnsi="Times New Roman" w:cs="Times New Roman"/>
              </w:rPr>
            </w:pPr>
            <w:r w:rsidRPr="00885A57">
              <w:t>SEA</w:t>
            </w:r>
          </w:p>
        </w:tc>
        <w:tc>
          <w:tcPr>
            <w:tcW w:w="5709" w:type="dxa"/>
          </w:tcPr>
          <w:p w14:paraId="449E382A" w14:textId="58DFD01C" w:rsidR="008B26A9" w:rsidRPr="00885A57" w:rsidRDefault="008B26A9" w:rsidP="001A2139">
            <w:pPr>
              <w:spacing w:line="360" w:lineRule="auto"/>
              <w:rPr>
                <w:rFonts w:ascii="Times New Roman" w:eastAsia="標楷體" w:hAnsi="Times New Roman" w:cs="Times New Roman"/>
              </w:rPr>
            </w:pPr>
            <w:r w:rsidRPr="00885A57">
              <w:rPr>
                <w:rFonts w:ascii="Times New Roman" w:eastAsia="標楷體" w:hAnsi="Times New Roman" w:cs="Times New Roman"/>
              </w:rPr>
              <w:t>Special Education Act</w:t>
            </w:r>
          </w:p>
        </w:tc>
      </w:tr>
    </w:tbl>
    <w:p w14:paraId="32501D9C" w14:textId="5050A3A9" w:rsidR="00704D80" w:rsidRDefault="00704D80" w:rsidP="001A2139">
      <w:pPr>
        <w:widowControl/>
        <w:spacing w:line="360" w:lineRule="auto"/>
        <w:rPr>
          <w:rFonts w:ascii="Times New Roman" w:eastAsia="標楷體" w:hAnsi="Times New Roman" w:cs="Times New Roman"/>
          <w:b/>
          <w:szCs w:val="24"/>
        </w:rPr>
      </w:pPr>
      <w:r>
        <w:rPr>
          <w:rFonts w:ascii="Times New Roman" w:eastAsia="標楷體" w:hAnsi="Times New Roman" w:cs="Times New Roman"/>
          <w:b/>
          <w:szCs w:val="24"/>
        </w:rPr>
        <w:br/>
      </w:r>
    </w:p>
    <w:p w14:paraId="450AF472" w14:textId="0DE63EE7" w:rsidR="00E838AC" w:rsidRPr="00885A57" w:rsidRDefault="00704D80" w:rsidP="00704D80">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14:paraId="076EEAF6" w14:textId="1D7E7CB3" w:rsidR="00EB3E72" w:rsidRPr="00885A57" w:rsidRDefault="00500D95" w:rsidP="001A2139">
      <w:pPr>
        <w:pStyle w:val="10"/>
        <w:spacing w:after="120" w:line="360" w:lineRule="auto"/>
        <w:rPr>
          <w:rFonts w:ascii="Times New Roman" w:hAnsi="Times New Roman"/>
        </w:rPr>
      </w:pPr>
      <w:bookmarkStart w:id="8" w:name="_Toc73108673"/>
      <w:bookmarkEnd w:id="4"/>
      <w:bookmarkEnd w:id="3"/>
      <w:bookmarkEnd w:id="2"/>
      <w:bookmarkEnd w:id="1"/>
      <w:bookmarkEnd w:id="6"/>
      <w:bookmarkEnd w:id="7"/>
      <w:r w:rsidRPr="00885A57">
        <w:rPr>
          <w:rFonts w:ascii="Times New Roman" w:hAnsi="Times New Roman"/>
        </w:rPr>
        <w:lastRenderedPageBreak/>
        <w:t>Articles 1, 2, 3 and 4</w:t>
      </w:r>
      <w:r w:rsidR="00B645D5" w:rsidRPr="00885A57">
        <w:rPr>
          <w:rFonts w:ascii="Times New Roman" w:hAnsi="Times New Roman"/>
        </w:rPr>
        <w:t xml:space="preserve">: </w:t>
      </w:r>
      <w:r w:rsidRPr="00885A57">
        <w:rPr>
          <w:rFonts w:ascii="Times New Roman" w:hAnsi="Times New Roman"/>
        </w:rPr>
        <w:t>Purpose, definition, general principles, and general obligations</w:t>
      </w:r>
      <w:bookmarkEnd w:id="8"/>
    </w:p>
    <w:p w14:paraId="45389EFB" w14:textId="194F4534" w:rsidR="002626DF" w:rsidRPr="00885A57" w:rsidRDefault="008C0370" w:rsidP="001A2139">
      <w:pPr>
        <w:pStyle w:val="a7"/>
        <w:numPr>
          <w:ilvl w:val="0"/>
          <w:numId w:val="2"/>
        </w:numPr>
        <w:spacing w:after="120" w:line="360" w:lineRule="auto"/>
        <w:ind w:leftChars="0" w:left="567" w:hanging="567"/>
        <w:jc w:val="both"/>
        <w:rPr>
          <w:rFonts w:ascii="Times New Roman" w:eastAsia="標楷體" w:hAnsi="Times New Roman" w:cs="Times New Roman"/>
          <w:b/>
          <w:szCs w:val="24"/>
        </w:rPr>
      </w:pPr>
      <w:r w:rsidRPr="00885A57">
        <w:rPr>
          <w:rFonts w:ascii="Times New Roman" w:eastAsia="標楷體" w:hAnsi="Times New Roman" w:cs="Times New Roman"/>
          <w:szCs w:val="24"/>
        </w:rPr>
        <w:t>Human rights model</w:t>
      </w:r>
      <w:r w:rsidR="00C553B6">
        <w:rPr>
          <w:rFonts w:ascii="Times New Roman" w:eastAsia="標楷體" w:hAnsi="Times New Roman" w:cs="Times New Roman"/>
          <w:szCs w:val="24"/>
        </w:rPr>
        <w:t xml:space="preserve"> for </w:t>
      </w:r>
      <w:r w:rsidRPr="00885A57">
        <w:rPr>
          <w:rFonts w:ascii="Times New Roman" w:eastAsia="標楷體" w:hAnsi="Times New Roman" w:cs="Times New Roman"/>
          <w:szCs w:val="24"/>
        </w:rPr>
        <w:t>legislative and administrative measures</w:t>
      </w:r>
    </w:p>
    <w:p w14:paraId="036052C2" w14:textId="05D2EFF1" w:rsidR="00BF1F1E" w:rsidRPr="00885A57" w:rsidRDefault="008C0370" w:rsidP="001A2139">
      <w:pPr>
        <w:pStyle w:val="a7"/>
        <w:numPr>
          <w:ilvl w:val="0"/>
          <w:numId w:val="30"/>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8"/>
        </w:rPr>
        <w:t xml:space="preserve">The term </w:t>
      </w:r>
      <w:r w:rsidR="009A3342">
        <w:rPr>
          <w:rFonts w:ascii="Times New Roman" w:eastAsia="標楷體" w:hAnsi="Times New Roman" w:cs="Times New Roman"/>
          <w:szCs w:val="28"/>
        </w:rPr>
        <w:t>“</w:t>
      </w:r>
      <w:r w:rsidRPr="00885A57">
        <w:rPr>
          <w:rFonts w:ascii="Times New Roman" w:eastAsia="標楷體" w:hAnsi="Times New Roman" w:cs="Times New Roman"/>
          <w:szCs w:val="28"/>
        </w:rPr>
        <w:t>people with disabilities</w:t>
      </w:r>
      <w:r w:rsidR="009A3342">
        <w:rPr>
          <w:rFonts w:ascii="Times New Roman" w:eastAsia="標楷體" w:hAnsi="Times New Roman" w:cs="Times New Roman"/>
          <w:szCs w:val="28"/>
        </w:rPr>
        <w:t>”</w:t>
      </w:r>
      <w:r w:rsidRPr="00885A57">
        <w:rPr>
          <w:rFonts w:ascii="Times New Roman" w:eastAsia="標楷體" w:hAnsi="Times New Roman" w:cs="Times New Roman"/>
          <w:szCs w:val="28"/>
        </w:rPr>
        <w:t xml:space="preserve"> in this follow-up report refers to individuals who </w:t>
      </w:r>
      <w:r w:rsidR="00EA5648" w:rsidRPr="00885A57">
        <w:rPr>
          <w:rFonts w:ascii="Times New Roman" w:eastAsia="標楷體" w:hAnsi="Times New Roman" w:cs="Times New Roman"/>
          <w:szCs w:val="28"/>
        </w:rPr>
        <w:t xml:space="preserve">have </w:t>
      </w:r>
      <w:r w:rsidRPr="00885A57">
        <w:rPr>
          <w:rFonts w:ascii="Times New Roman" w:eastAsia="標楷體" w:hAnsi="Times New Roman" w:cs="Times New Roman"/>
          <w:szCs w:val="28"/>
        </w:rPr>
        <w:t xml:space="preserve">submitted applications for eligibility determinations that </w:t>
      </w:r>
      <w:r w:rsidR="00EA5648" w:rsidRPr="00885A57">
        <w:rPr>
          <w:rFonts w:ascii="Times New Roman" w:eastAsia="標楷體" w:hAnsi="Times New Roman" w:cs="Times New Roman"/>
          <w:szCs w:val="28"/>
        </w:rPr>
        <w:t>have been</w:t>
      </w:r>
      <w:r w:rsidRPr="00885A57">
        <w:rPr>
          <w:rFonts w:ascii="Times New Roman" w:eastAsia="標楷體" w:hAnsi="Times New Roman" w:cs="Times New Roman"/>
          <w:szCs w:val="28"/>
        </w:rPr>
        <w:t xml:space="preserve"> approved under the </w:t>
      </w:r>
      <w:r w:rsidRPr="002153DE">
        <w:rPr>
          <w:rFonts w:ascii="Times New Roman" w:eastAsia="標楷體" w:hAnsi="Times New Roman" w:cs="Times New Roman"/>
          <w:iCs/>
          <w:szCs w:val="28"/>
        </w:rPr>
        <w:t>People with Disabilities Rights Protection Act</w:t>
      </w:r>
      <w:r w:rsidRPr="00885A57">
        <w:rPr>
          <w:rFonts w:ascii="Times New Roman" w:eastAsia="標楷體" w:hAnsi="Times New Roman" w:cs="Times New Roman"/>
          <w:szCs w:val="28"/>
        </w:rPr>
        <w:t xml:space="preserve"> (hereinafter referred to as the PDRPA). Such qualified individuals, determined through a disability </w:t>
      </w:r>
      <w:r w:rsidR="005F7E13">
        <w:rPr>
          <w:rFonts w:ascii="Times New Roman" w:eastAsia="標楷體" w:hAnsi="Times New Roman" w:cs="Times New Roman"/>
          <w:szCs w:val="28"/>
          <w:lang w:val="en-GB"/>
        </w:rPr>
        <w:t>assessment</w:t>
      </w:r>
      <w:r w:rsidRPr="00885A57">
        <w:rPr>
          <w:rFonts w:ascii="Times New Roman" w:eastAsia="標楷體" w:hAnsi="Times New Roman" w:cs="Times New Roman"/>
          <w:szCs w:val="28"/>
        </w:rPr>
        <w:t xml:space="preserve">, are eligible to apply for </w:t>
      </w:r>
      <w:r w:rsidRPr="00C553B6">
        <w:rPr>
          <w:rFonts w:ascii="Times New Roman" w:eastAsia="標楷體" w:hAnsi="Times New Roman" w:cs="Times New Roman"/>
          <w:szCs w:val="28"/>
        </w:rPr>
        <w:t>government grants</w:t>
      </w:r>
      <w:r w:rsidRPr="00885A57">
        <w:rPr>
          <w:rFonts w:ascii="Times New Roman" w:eastAsia="標楷體" w:hAnsi="Times New Roman" w:cs="Times New Roman"/>
          <w:szCs w:val="28"/>
        </w:rPr>
        <w:t>; these individuals are the cases reported herein, and thus, the number of cases presumably deviates from the actual prevalence rate of individuals subject to long</w:t>
      </w:r>
      <w:r w:rsidR="00931A86">
        <w:rPr>
          <w:rFonts w:ascii="Times New Roman" w:eastAsia="標楷體" w:hAnsi="Times New Roman" w:cs="Times New Roman"/>
          <w:szCs w:val="28"/>
        </w:rPr>
        <w:t xml:space="preserve"> </w:t>
      </w:r>
      <w:r w:rsidRPr="00885A57">
        <w:rPr>
          <w:rFonts w:ascii="Times New Roman" w:eastAsia="標楷體" w:hAnsi="Times New Roman" w:cs="Times New Roman"/>
          <w:szCs w:val="28"/>
        </w:rPr>
        <w:t xml:space="preserve">term physical, mental, intellectual, or sensory impairments. Those who do not actively apply for disability qualification assessment are, however, entitled to apply for relevant services in accordance with the </w:t>
      </w:r>
      <w:r w:rsidRPr="002153DE">
        <w:rPr>
          <w:rFonts w:ascii="Times New Roman" w:eastAsia="標楷體" w:hAnsi="Times New Roman" w:cs="Times New Roman"/>
          <w:iCs/>
          <w:szCs w:val="28"/>
        </w:rPr>
        <w:t>Special Education Act</w:t>
      </w:r>
      <w:r w:rsidRPr="00885A57">
        <w:rPr>
          <w:rFonts w:ascii="Times New Roman" w:eastAsia="標楷體" w:hAnsi="Times New Roman" w:cs="Times New Roman"/>
          <w:szCs w:val="28"/>
        </w:rPr>
        <w:t xml:space="preserve"> (hereinafter referred to as the SEA) and </w:t>
      </w:r>
      <w:r w:rsidRPr="002153DE">
        <w:rPr>
          <w:rFonts w:ascii="Times New Roman" w:eastAsia="標楷體" w:hAnsi="Times New Roman" w:cs="Times New Roman"/>
          <w:iCs/>
          <w:szCs w:val="28"/>
        </w:rPr>
        <w:t>Long-Term Care Services Act</w:t>
      </w:r>
      <w:r w:rsidRPr="00885A57">
        <w:rPr>
          <w:rFonts w:ascii="Times New Roman" w:eastAsia="標楷體" w:hAnsi="Times New Roman" w:cs="Times New Roman"/>
          <w:szCs w:val="28"/>
        </w:rPr>
        <w:t xml:space="preserve"> (hereinafter referred to as the LTCSA)</w:t>
      </w:r>
      <w:r w:rsidRPr="00885A57">
        <w:rPr>
          <w:rFonts w:ascii="Times New Roman" w:eastAsia="標楷體" w:hAnsi="Times New Roman" w:cs="Times New Roman"/>
          <w:kern w:val="0"/>
          <w:szCs w:val="24"/>
          <w:vertAlign w:val="superscript"/>
        </w:rPr>
        <w:footnoteReference w:id="1"/>
      </w:r>
      <w:r w:rsidRPr="00885A57">
        <w:rPr>
          <w:rFonts w:ascii="Times New Roman" w:eastAsia="標楷體" w:hAnsi="Times New Roman" w:cs="Times New Roman"/>
          <w:szCs w:val="28"/>
        </w:rPr>
        <w:t xml:space="preserve"> if necessary. Individuals diagnosed with dementia or those recognized as middle-aged and older employees (aged 45 years or older) are allowed to apply for job accommodation services, through which they are able to remain employed. The Republic of China (hereinafter referred to as Taiwan) initiated the National Health Insurance (NHI) program in 1995 and has ensured that every citizen has</w:t>
      </w:r>
      <w:r w:rsidR="00412410">
        <w:rPr>
          <w:rFonts w:ascii="Times New Roman" w:eastAsia="標楷體" w:hAnsi="Times New Roman" w:cs="Times New Roman"/>
          <w:szCs w:val="28"/>
        </w:rPr>
        <w:t xml:space="preserve"> had</w:t>
      </w:r>
      <w:r w:rsidRPr="00885A57">
        <w:rPr>
          <w:rFonts w:ascii="Times New Roman" w:eastAsia="標楷體" w:hAnsi="Times New Roman" w:cs="Times New Roman"/>
          <w:szCs w:val="28"/>
        </w:rPr>
        <w:t xml:space="preserve"> an equal right to medical care since then. </w:t>
      </w:r>
      <w:r w:rsidRPr="00885A57">
        <w:rPr>
          <w:rFonts w:ascii="Times New Roman" w:eastAsia="標楷體" w:hAnsi="Times New Roman" w:cs="Times New Roman"/>
          <w:szCs w:val="28"/>
        </w:rPr>
        <w:lastRenderedPageBreak/>
        <w:t xml:space="preserve">Furthermore, the body of statistical data reported in this follow-up report covers the period between 2016 and 2019 and highlights the relevant progress achieved during the four years after the initial </w:t>
      </w:r>
      <w:r w:rsidRPr="00C553B6">
        <w:rPr>
          <w:rFonts w:ascii="Times New Roman" w:eastAsia="標楷體" w:hAnsi="Times New Roman" w:cs="Times New Roman"/>
          <w:szCs w:val="28"/>
        </w:rPr>
        <w:t>report</w:t>
      </w:r>
      <w:r w:rsidRPr="00885A57">
        <w:rPr>
          <w:rFonts w:ascii="Times New Roman" w:eastAsia="標楷體" w:hAnsi="Times New Roman" w:cs="Times New Roman"/>
          <w:szCs w:val="28"/>
        </w:rPr>
        <w:t xml:space="preserve"> was published.</w:t>
      </w:r>
    </w:p>
    <w:p w14:paraId="6099D297" w14:textId="6CC17BFB" w:rsidR="008C0370" w:rsidRPr="00885A57" w:rsidRDefault="008C0370" w:rsidP="001A2139">
      <w:pPr>
        <w:pStyle w:val="a7"/>
        <w:numPr>
          <w:ilvl w:val="0"/>
          <w:numId w:val="30"/>
        </w:numPr>
        <w:spacing w:after="120" w:line="360" w:lineRule="auto"/>
        <w:ind w:leftChars="0" w:left="540"/>
        <w:jc w:val="both"/>
        <w:rPr>
          <w:rFonts w:ascii="Times New Roman" w:eastAsia="標楷體" w:hAnsi="Times New Roman" w:cs="Times New Roman"/>
          <w:vanish/>
        </w:rPr>
      </w:pPr>
      <w:r w:rsidRPr="00885A57">
        <w:rPr>
          <w:rFonts w:ascii="Times New Roman" w:eastAsia="標楷體" w:hAnsi="Times New Roman" w:cs="Times New Roman"/>
          <w:szCs w:val="28"/>
        </w:rPr>
        <w:t xml:space="preserve">Disability classification in Taiwan was first proposed in the </w:t>
      </w:r>
      <w:r w:rsidRPr="002153DE">
        <w:rPr>
          <w:rFonts w:ascii="Times New Roman" w:eastAsia="標楷體" w:hAnsi="Times New Roman" w:cs="Times New Roman"/>
          <w:iCs/>
          <w:szCs w:val="28"/>
        </w:rPr>
        <w:t>Welfare Law for Handicapped Persons</w:t>
      </w:r>
      <w:r w:rsidRPr="00885A57">
        <w:rPr>
          <w:rFonts w:ascii="Times New Roman" w:eastAsia="標楷體" w:hAnsi="Times New Roman" w:cs="Times New Roman"/>
          <w:szCs w:val="28"/>
        </w:rPr>
        <w:t xml:space="preserve"> promulgated in 1980, with an emphasis on medical</w:t>
      </w:r>
      <w:r w:rsidR="00931A86">
        <w:rPr>
          <w:rFonts w:ascii="Times New Roman" w:eastAsia="標楷體" w:hAnsi="Times New Roman" w:cs="Times New Roman"/>
          <w:szCs w:val="28"/>
        </w:rPr>
        <w:t xml:space="preserve">ly </w:t>
      </w:r>
      <w:r w:rsidRPr="00885A57">
        <w:rPr>
          <w:rFonts w:ascii="Times New Roman" w:eastAsia="標楷體" w:hAnsi="Times New Roman" w:cs="Times New Roman"/>
          <w:szCs w:val="28"/>
        </w:rPr>
        <w:t xml:space="preserve">based classification of specific disease categories, physical impairments, and functional constraints. In 2007, said act was renamed the PDRPA, in which the human-rights-based approach specified in the </w:t>
      </w:r>
      <w:r w:rsidRPr="002153DE">
        <w:rPr>
          <w:rFonts w:ascii="Times New Roman" w:eastAsia="標楷體" w:hAnsi="Times New Roman" w:cs="Times New Roman"/>
          <w:iCs/>
          <w:szCs w:val="28"/>
        </w:rPr>
        <w:t>Convention on the Rights of Persons with Disabilities</w:t>
      </w:r>
      <w:r w:rsidRPr="00885A57">
        <w:rPr>
          <w:rFonts w:ascii="Times New Roman" w:eastAsia="標楷體" w:hAnsi="Times New Roman" w:cs="Times New Roman"/>
          <w:szCs w:val="28"/>
        </w:rPr>
        <w:t xml:space="preserve"> (hereinafter referred to as the CRPD) was adopted, emphasizing that disability is an evolving concept, encompassing a diversity of experiences. The PDRPA is expected to provide a more favorable classification model, as it is based on the International Classification of Functioning, Disability and Health (hereinafter referred to as the ICF) </w:t>
      </w:r>
      <w:r w:rsidR="00C553B6">
        <w:rPr>
          <w:rFonts w:ascii="Times New Roman" w:eastAsia="標楷體" w:hAnsi="Times New Roman" w:cs="Times New Roman"/>
          <w:szCs w:val="28"/>
        </w:rPr>
        <w:t>published</w:t>
      </w:r>
      <w:r w:rsidR="00C553B6" w:rsidRPr="00885A57">
        <w:rPr>
          <w:rFonts w:ascii="Times New Roman" w:eastAsia="標楷體" w:hAnsi="Times New Roman" w:cs="Times New Roman"/>
          <w:szCs w:val="28"/>
        </w:rPr>
        <w:t xml:space="preserve"> </w:t>
      </w:r>
      <w:r w:rsidRPr="00885A57">
        <w:rPr>
          <w:rFonts w:ascii="Times New Roman" w:eastAsia="標楷體" w:hAnsi="Times New Roman" w:cs="Times New Roman"/>
          <w:szCs w:val="28"/>
        </w:rPr>
        <w:t>by the World Health Organization. The PDRPA defines people with disabilities as those with a specific deviation or loss resulting from physical or mental impairments who are thus limited or restricted to be engaged in the ordinary living activities and participation in the society. The act also specifies that each disability ID shall be effective for no longer than five years. Where a person’s disability condition changes, they are entitled to apply for reappraisal and a needs assessment at any time.</w:t>
      </w:r>
      <w:r w:rsidRPr="00885A57">
        <w:rPr>
          <w:rStyle w:val="ab"/>
          <w:rFonts w:ascii="Times New Roman" w:eastAsia="標楷體" w:hAnsi="Times New Roman" w:cs="Times New Roman"/>
          <w:szCs w:val="28"/>
        </w:rPr>
        <w:footnoteReference w:id="2"/>
      </w:r>
    </w:p>
    <w:p w14:paraId="605CBD53" w14:textId="0830E451" w:rsidR="00381976" w:rsidRPr="00885A57" w:rsidRDefault="00381976" w:rsidP="001A2139">
      <w:pPr>
        <w:pStyle w:val="a7"/>
        <w:numPr>
          <w:ilvl w:val="0"/>
          <w:numId w:val="30"/>
        </w:numPr>
        <w:spacing w:after="120" w:line="360" w:lineRule="auto"/>
        <w:ind w:leftChars="0" w:left="540"/>
        <w:jc w:val="both"/>
        <w:rPr>
          <w:rFonts w:ascii="Times New Roman" w:eastAsia="標楷體" w:hAnsi="Times New Roman" w:cs="Times New Roman"/>
          <w:vanish/>
          <w:szCs w:val="24"/>
          <w:specVanish/>
        </w:rPr>
      </w:pPr>
    </w:p>
    <w:p w14:paraId="5A2CADF1" w14:textId="64DE71DA" w:rsidR="00AE3C46" w:rsidRPr="00885A57" w:rsidRDefault="00381976" w:rsidP="001A2139">
      <w:pPr>
        <w:pStyle w:val="a7"/>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 </w:t>
      </w:r>
    </w:p>
    <w:p w14:paraId="1CBE199B" w14:textId="5A2CBEB0" w:rsidR="00381976" w:rsidRPr="00885A57" w:rsidRDefault="008C0370" w:rsidP="001A2139">
      <w:pPr>
        <w:pStyle w:val="a7"/>
        <w:numPr>
          <w:ilvl w:val="0"/>
          <w:numId w:val="45"/>
        </w:numPr>
        <w:spacing w:after="120" w:line="360" w:lineRule="auto"/>
        <w:ind w:leftChars="0" w:left="540"/>
        <w:jc w:val="both"/>
        <w:rPr>
          <w:rFonts w:ascii="Times New Roman" w:eastAsia="標楷體" w:hAnsi="Times New Roman" w:cs="Times New Roman"/>
          <w:szCs w:val="24"/>
        </w:rPr>
      </w:pPr>
      <w:bookmarkStart w:id="9" w:name="_Ref55902220"/>
      <w:r w:rsidRPr="00885A57">
        <w:rPr>
          <w:rFonts w:ascii="Times New Roman" w:eastAsia="標楷體" w:hAnsi="Times New Roman" w:cs="Times New Roman"/>
          <w:szCs w:val="28"/>
        </w:rPr>
        <w:t>Eligibility assessment of people with disabilities in Taiwan is closely aligned with</w:t>
      </w:r>
      <w:r w:rsidR="00F71FD5">
        <w:rPr>
          <w:rFonts w:ascii="Times New Roman" w:eastAsia="標楷體" w:hAnsi="Times New Roman" w:cs="Times New Roman"/>
          <w:szCs w:val="28"/>
        </w:rPr>
        <w:t xml:space="preserve"> </w:t>
      </w:r>
      <w:r w:rsidR="00412410">
        <w:rPr>
          <w:rFonts w:ascii="Times New Roman" w:eastAsia="標楷體" w:hAnsi="Times New Roman" w:cs="Times New Roman"/>
          <w:szCs w:val="28"/>
        </w:rPr>
        <w:t xml:space="preserve">the </w:t>
      </w:r>
      <w:r w:rsidRPr="00885A57">
        <w:rPr>
          <w:rFonts w:ascii="Times New Roman" w:eastAsia="標楷體" w:hAnsi="Times New Roman" w:cs="Times New Roman"/>
          <w:szCs w:val="28"/>
        </w:rPr>
        <w:t>national</w:t>
      </w:r>
      <w:r w:rsidR="00931A86">
        <w:rPr>
          <w:rFonts w:ascii="Times New Roman" w:eastAsia="標楷體" w:hAnsi="Times New Roman" w:cs="Times New Roman"/>
          <w:szCs w:val="28"/>
        </w:rPr>
        <w:t xml:space="preserve"> </w:t>
      </w:r>
      <w:r w:rsidRPr="00885A57">
        <w:rPr>
          <w:rFonts w:ascii="Times New Roman" w:eastAsia="標楷體" w:hAnsi="Times New Roman" w:cs="Times New Roman"/>
          <w:szCs w:val="28"/>
        </w:rPr>
        <w:t xml:space="preserve">welfare scheme framework, which provides for various welfare </w:t>
      </w:r>
      <w:r w:rsidRPr="00885A57">
        <w:rPr>
          <w:rFonts w:ascii="Times New Roman" w:eastAsia="標楷體" w:hAnsi="Times New Roman" w:cs="Times New Roman"/>
          <w:szCs w:val="28"/>
        </w:rPr>
        <w:lastRenderedPageBreak/>
        <w:t>services for individuals with a valid disability ID (including health insurance, tax relief, and public transport</w:t>
      </w:r>
      <w:r w:rsidR="00E93DD0" w:rsidRPr="00885A57">
        <w:rPr>
          <w:rFonts w:ascii="Times New Roman" w:eastAsia="標楷體" w:hAnsi="Times New Roman" w:cs="Times New Roman"/>
          <w:szCs w:val="28"/>
        </w:rPr>
        <w:t>ation</w:t>
      </w:r>
      <w:r w:rsidRPr="00885A57">
        <w:rPr>
          <w:rFonts w:ascii="Times New Roman" w:eastAsia="標楷體" w:hAnsi="Times New Roman" w:cs="Times New Roman"/>
          <w:szCs w:val="28"/>
        </w:rPr>
        <w:t xml:space="preserve"> discount). Moreover, people with severe disabilities are entitled to higher cash grants. Under the provision and funding principles of personal care and family support services for people with disabilities, the level of disability is irrelevant. Because activity participation and environmental factors differ considerably between individuals, </w:t>
      </w:r>
      <w:r w:rsidR="00412410">
        <w:rPr>
          <w:rFonts w:ascii="Times New Roman" w:eastAsia="標楷體" w:hAnsi="Times New Roman" w:cs="Times New Roman"/>
          <w:szCs w:val="28"/>
        </w:rPr>
        <w:t xml:space="preserve">the </w:t>
      </w:r>
      <w:r w:rsidRPr="00885A57">
        <w:rPr>
          <w:rFonts w:ascii="Times New Roman" w:eastAsia="標楷體" w:hAnsi="Times New Roman" w:cs="Times New Roman"/>
          <w:szCs w:val="28"/>
        </w:rPr>
        <w:t>bodily structure and functions of individuals are prioritized as indicators in disability eligibility assessment</w:t>
      </w:r>
      <w:r w:rsidR="00C553B6">
        <w:rPr>
          <w:rFonts w:ascii="Times New Roman" w:eastAsia="標楷體" w:hAnsi="Times New Roman" w:cs="Times New Roman"/>
          <w:szCs w:val="28"/>
        </w:rPr>
        <w:t>s</w:t>
      </w:r>
      <w:r w:rsidRPr="00885A57">
        <w:rPr>
          <w:rFonts w:ascii="Times New Roman" w:eastAsia="標楷體" w:hAnsi="Times New Roman" w:cs="Times New Roman"/>
          <w:szCs w:val="28"/>
        </w:rPr>
        <w:t>. Along with the needs assessment system,</w:t>
      </w:r>
      <w:r w:rsidRPr="00885A57">
        <w:rPr>
          <w:rStyle w:val="ab"/>
          <w:rFonts w:ascii="Times New Roman" w:eastAsia="標楷體" w:hAnsi="Times New Roman" w:cs="Times New Roman"/>
          <w:szCs w:val="28"/>
        </w:rPr>
        <w:footnoteReference w:id="3"/>
      </w:r>
      <w:r w:rsidRPr="00885A57">
        <w:rPr>
          <w:rFonts w:ascii="Times New Roman" w:eastAsia="標楷體" w:hAnsi="Times New Roman" w:cs="Times New Roman"/>
          <w:szCs w:val="28"/>
        </w:rPr>
        <w:t xml:space="preserve"> the disability assessment system in Taiwan aims to provide appropriate services for individuals in need.</w:t>
      </w:r>
      <w:bookmarkEnd w:id="9"/>
    </w:p>
    <w:p w14:paraId="5F0B1472" w14:textId="61C6B3CD" w:rsidR="00F23006" w:rsidRPr="00885A57" w:rsidRDefault="008C0370"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8"/>
        </w:rPr>
        <w:t xml:space="preserve">To ensure the feasibility of the ICF system and that the system meets the requirements of people with disabilities and to strengthen the link between needs assessment and </w:t>
      </w:r>
      <w:r w:rsidR="00412410">
        <w:rPr>
          <w:rFonts w:ascii="Times New Roman" w:eastAsia="標楷體" w:hAnsi="Times New Roman" w:cs="Times New Roman"/>
          <w:szCs w:val="28"/>
        </w:rPr>
        <w:t xml:space="preserve">the subsequent provision of </w:t>
      </w:r>
      <w:r w:rsidRPr="00885A57">
        <w:rPr>
          <w:rFonts w:ascii="Times New Roman" w:eastAsia="標楷體" w:hAnsi="Times New Roman" w:cs="Times New Roman"/>
          <w:szCs w:val="28"/>
        </w:rPr>
        <w:t>services, the Ministry of Health and Welfare (hereinafter referred to as the MOHW) continued communicating with people with disabilities and their representative organizations</w:t>
      </w:r>
      <w:r w:rsidRPr="00885A57">
        <w:rPr>
          <w:rFonts w:ascii="Times New Roman" w:eastAsia="標楷體" w:hAnsi="Times New Roman" w:cs="Times New Roman"/>
          <w:vertAlign w:val="superscript"/>
        </w:rPr>
        <w:footnoteReference w:id="4"/>
      </w:r>
      <w:r w:rsidRPr="00885A57">
        <w:rPr>
          <w:rFonts w:ascii="Times New Roman" w:eastAsia="標楷體" w:hAnsi="Times New Roman" w:cs="Times New Roman"/>
          <w:szCs w:val="28"/>
        </w:rPr>
        <w:t xml:space="preserve"> in 2020 and plans to review the Interview Guide and Procedures of Welfare and Service Needs Assessment for People with Disabilities </w:t>
      </w:r>
      <w:r w:rsidR="00C553B6">
        <w:rPr>
          <w:rFonts w:ascii="Times New Roman" w:eastAsia="標楷體" w:hAnsi="Times New Roman" w:cs="Times New Roman"/>
          <w:szCs w:val="28"/>
        </w:rPr>
        <w:t>in</w:t>
      </w:r>
      <w:r w:rsidR="00C553B6" w:rsidRPr="00885A57">
        <w:rPr>
          <w:rFonts w:ascii="Times New Roman" w:eastAsia="標楷體" w:hAnsi="Times New Roman" w:cs="Times New Roman"/>
          <w:szCs w:val="28"/>
        </w:rPr>
        <w:t xml:space="preserve"> </w:t>
      </w:r>
      <w:r w:rsidRPr="00885A57">
        <w:rPr>
          <w:rFonts w:ascii="Times New Roman" w:eastAsia="標楷體" w:hAnsi="Times New Roman" w:cs="Times New Roman"/>
          <w:szCs w:val="28"/>
        </w:rPr>
        <w:t xml:space="preserve">2021. </w:t>
      </w:r>
      <w:r w:rsidR="00C553B6">
        <w:rPr>
          <w:rFonts w:ascii="Times New Roman" w:eastAsia="標楷體" w:hAnsi="Times New Roman" w:cs="Times New Roman"/>
          <w:szCs w:val="28"/>
        </w:rPr>
        <w:t xml:space="preserve">This will allow for more </w:t>
      </w:r>
      <w:r w:rsidRPr="00885A57">
        <w:rPr>
          <w:rFonts w:ascii="Times New Roman" w:eastAsia="標楷體" w:hAnsi="Times New Roman" w:cs="Times New Roman"/>
          <w:szCs w:val="28"/>
        </w:rPr>
        <w:t xml:space="preserve">comprehensible information on relevant welfare services </w:t>
      </w:r>
      <w:r w:rsidR="00C553B6">
        <w:rPr>
          <w:rFonts w:ascii="Times New Roman" w:eastAsia="標楷體" w:hAnsi="Times New Roman" w:cs="Times New Roman"/>
          <w:szCs w:val="28"/>
        </w:rPr>
        <w:t xml:space="preserve">to </w:t>
      </w:r>
      <w:r w:rsidRPr="00885A57">
        <w:rPr>
          <w:rFonts w:ascii="Times New Roman" w:eastAsia="標楷體" w:hAnsi="Times New Roman" w:cs="Times New Roman"/>
          <w:szCs w:val="28"/>
        </w:rPr>
        <w:t>be provided, allowing people with disabilities to autonomously select suitable services.</w:t>
      </w:r>
    </w:p>
    <w:p w14:paraId="22D83467" w14:textId="7BBC444D" w:rsidR="00F13A28" w:rsidRPr="00885A57" w:rsidRDefault="008C0370"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In accordance with data compiled by the MOHW in December 2019, the number </w:t>
      </w:r>
      <w:r w:rsidRPr="00885A57">
        <w:rPr>
          <w:rFonts w:ascii="Times New Roman" w:eastAsia="標楷體" w:hAnsi="Times New Roman" w:cs="Times New Roman"/>
          <w:szCs w:val="24"/>
        </w:rPr>
        <w:lastRenderedPageBreak/>
        <w:t>of people with disabilities in Taiwan totaled 1.18 million, accounting for 5.03</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the total population (Tables 1.1, 1.2A, and 1.2B). Specifically, 661,690 were male (accounting for 55.76</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w:t>
      </w:r>
      <w:r w:rsidR="000F5439">
        <w:rPr>
          <w:rFonts w:ascii="Times New Roman" w:eastAsia="標楷體" w:hAnsi="Times New Roman" w:cs="Times New Roman"/>
          <w:szCs w:val="24"/>
        </w:rPr>
        <w:t>people with disabilities</w:t>
      </w:r>
      <w:r w:rsidRPr="00885A57">
        <w:rPr>
          <w:rFonts w:ascii="Times New Roman" w:eastAsia="標楷體" w:hAnsi="Times New Roman" w:cs="Times New Roman"/>
          <w:szCs w:val="24"/>
        </w:rPr>
        <w:t xml:space="preserve"> population and 5.65</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the male population), and 525,050 were female (44.24</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w:t>
      </w:r>
      <w:r w:rsidR="007C333F">
        <w:rPr>
          <w:rFonts w:ascii="Times New Roman" w:eastAsia="標楷體" w:hAnsi="Times New Roman" w:cs="Times New Roman"/>
          <w:szCs w:val="24"/>
        </w:rPr>
        <w:t>people with disabilities</w:t>
      </w:r>
      <w:r w:rsidRPr="00885A57">
        <w:rPr>
          <w:rFonts w:ascii="Times New Roman" w:eastAsia="標楷體" w:hAnsi="Times New Roman" w:cs="Times New Roman"/>
          <w:szCs w:val="24"/>
        </w:rPr>
        <w:t xml:space="preserve"> population and 4.41</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the female population). The number of people living with disabilities aged 65 years or older was 513,315, constituting 43.25</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the total disabled population in Taiwan. Children and youth with disabilities</w:t>
      </w:r>
      <w:bookmarkStart w:id="10" w:name="_Hlk64458969"/>
      <w:r w:rsidRPr="00885A57">
        <w:rPr>
          <w:rStyle w:val="ab"/>
          <w:rFonts w:ascii="Times New Roman" w:eastAsia="標楷體" w:hAnsi="Times New Roman" w:cs="Times New Roman"/>
        </w:rPr>
        <w:footnoteReference w:id="5"/>
      </w:r>
      <w:bookmarkEnd w:id="10"/>
      <w:r w:rsidRPr="00885A57">
        <w:rPr>
          <w:rFonts w:ascii="Times New Roman" w:eastAsia="標楷體" w:hAnsi="Times New Roman" w:cs="Times New Roman"/>
          <w:szCs w:val="24"/>
        </w:rPr>
        <w:t xml:space="preserve"> (hereinafter referred to as CYDs) totaled 51,844, constituting 4.37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the total disabled population (Table 1.3).</w:t>
      </w:r>
    </w:p>
    <w:p w14:paraId="6C7218FE" w14:textId="5859D031" w:rsidR="00C24F23" w:rsidRPr="00885A57" w:rsidRDefault="00BE2B5B"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1" w:name="_Ref55901646"/>
      <w:r w:rsidRPr="00885A57">
        <w:rPr>
          <w:rFonts w:ascii="Times New Roman" w:eastAsia="標楷體" w:hAnsi="Times New Roman" w:cs="Times New Roman"/>
          <w:szCs w:val="24"/>
        </w:rPr>
        <w:t xml:space="preserve">To incorporate the perspective of equal rights for people with disabilities into policy development and implementation, the MOHW </w:t>
      </w:r>
      <w:r w:rsidR="00016291">
        <w:rPr>
          <w:rFonts w:ascii="Times New Roman" w:eastAsia="標楷體" w:hAnsi="Times New Roman" w:cs="Times New Roman"/>
          <w:szCs w:val="24"/>
        </w:rPr>
        <w:t>devised</w:t>
      </w:r>
      <w:r w:rsidRPr="00885A57">
        <w:rPr>
          <w:rFonts w:ascii="Times New Roman" w:eastAsia="標楷體" w:hAnsi="Times New Roman" w:cs="Times New Roman"/>
          <w:szCs w:val="24"/>
        </w:rPr>
        <w:t xml:space="preserve"> the</w:t>
      </w:r>
      <w:r w:rsidR="0048770E" w:rsidRPr="0048770E">
        <w:rPr>
          <w:rFonts w:ascii="Times New Roman" w:eastAsia="標楷體" w:hAnsi="Times New Roman" w:cs="Times New Roman"/>
          <w:szCs w:val="24"/>
        </w:rPr>
        <w:t xml:space="preserve"> Regulatory and CRPD Impact Assessment Checklist</w:t>
      </w:r>
      <w:r w:rsidRPr="00885A57">
        <w:rPr>
          <w:rFonts w:ascii="Times New Roman" w:eastAsia="標楷體" w:hAnsi="Times New Roman" w:cs="Times New Roman"/>
          <w:szCs w:val="24"/>
        </w:rPr>
        <w:t xml:space="preserve"> in 2018, the assessment items of which were designed on the basis of Article 3 (General principles) of the CRPD. In March 2020, the MOHW requested government agencies to refer to these assessment items during the enactment and amendment of relevant rules and regulations and </w:t>
      </w:r>
      <w:r w:rsidR="00A922AD">
        <w:rPr>
          <w:rFonts w:ascii="Times New Roman" w:eastAsia="標楷體" w:hAnsi="Times New Roman" w:cs="Times New Roman"/>
          <w:szCs w:val="24"/>
        </w:rPr>
        <w:t xml:space="preserve">to </w:t>
      </w:r>
      <w:r w:rsidRPr="00885A57">
        <w:rPr>
          <w:rFonts w:ascii="Times New Roman" w:eastAsia="標楷體" w:hAnsi="Times New Roman" w:cs="Times New Roman"/>
          <w:szCs w:val="24"/>
        </w:rPr>
        <w:t>ensure their compliance with CRPD principles. Additionally, the MOHW, following the launch of the National Human Rights Action Plan, intends to develop a standard system of human rights impact assessments for acts and medium- and long-term projects by 2024.</w:t>
      </w:r>
      <w:bookmarkEnd w:id="11"/>
      <w:r w:rsidRPr="00885A57">
        <w:rPr>
          <w:rStyle w:val="ab"/>
          <w:rFonts w:ascii="Times New Roman" w:eastAsia="標楷體" w:hAnsi="Times New Roman" w:cs="Times New Roman"/>
        </w:rPr>
        <w:footnoteReference w:id="6"/>
      </w:r>
    </w:p>
    <w:p w14:paraId="7035B870" w14:textId="771D5BEF" w:rsidR="00C24F23" w:rsidRPr="00885A57" w:rsidRDefault="00BE2B5B" w:rsidP="001A2139">
      <w:pPr>
        <w:pStyle w:val="a7"/>
        <w:numPr>
          <w:ilvl w:val="0"/>
          <w:numId w:val="2"/>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lastRenderedPageBreak/>
        <w:t>Universal design and accessibility</w:t>
      </w:r>
    </w:p>
    <w:p w14:paraId="6B3D6201" w14:textId="30D2FB1F" w:rsidR="00E869DB" w:rsidRPr="00885A57" w:rsidRDefault="00BE2B5B"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2" w:name="_Ref39509422"/>
      <w:r w:rsidRPr="00885A57">
        <w:rPr>
          <w:rFonts w:ascii="Times New Roman" w:eastAsia="標楷體" w:hAnsi="Times New Roman" w:cs="Times New Roman"/>
        </w:rPr>
        <w:t xml:space="preserve">The </w:t>
      </w:r>
      <w:r w:rsidRPr="002153DE">
        <w:rPr>
          <w:rFonts w:ascii="Times New Roman" w:eastAsia="標楷體" w:hAnsi="Times New Roman" w:cs="Times New Roman"/>
          <w:iCs/>
        </w:rPr>
        <w:t>Design Specifications of Accessible and Usable Buildings and Facilities</w:t>
      </w:r>
      <w:r w:rsidRPr="00885A57">
        <w:rPr>
          <w:rFonts w:ascii="Times New Roman" w:eastAsia="標楷體" w:hAnsi="Times New Roman" w:cs="Times New Roman"/>
        </w:rPr>
        <w:t xml:space="preserve"> were amended and enacted in January and July 2019, respectively, with the principles of perceptible information, low physical effort, and size and space for approach and use added. The act serves as the basis for accessible facility design of buildings and aims at creating a comprehensive accessible environment. The Ministry of the Interior (hereinafter referred to as the MOI) plans to add appropriate universal design principles when necessary.</w:t>
      </w:r>
      <w:bookmarkEnd w:id="12"/>
      <w:r w:rsidRPr="00885A57">
        <w:rPr>
          <w:rStyle w:val="ab"/>
          <w:rFonts w:ascii="Times New Roman" w:eastAsia="標楷體" w:hAnsi="Times New Roman" w:cs="Times New Roman"/>
        </w:rPr>
        <w:footnoteReference w:id="7"/>
      </w:r>
    </w:p>
    <w:p w14:paraId="0344C16F" w14:textId="7836DD3E" w:rsidR="00EB0014" w:rsidRPr="00885A57" w:rsidRDefault="00F523B8"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3" w:name="_Ref39509429"/>
      <w:r w:rsidRPr="00885A57">
        <w:rPr>
          <w:rFonts w:ascii="Times New Roman" w:eastAsia="標楷體" w:hAnsi="Times New Roman" w:cs="Times New Roman"/>
          <w:szCs w:val="24"/>
        </w:rPr>
        <w:t xml:space="preserve">The second edition of the Handbook on Humanity-Oriented Urban Transportation Planning was finalized in October 2018, adding universal design principles and indicators applicable to </w:t>
      </w:r>
      <w:r w:rsidR="00A922AD">
        <w:rPr>
          <w:rFonts w:ascii="Times New Roman" w:eastAsia="標楷體" w:hAnsi="Times New Roman" w:cs="Times New Roman"/>
          <w:szCs w:val="24"/>
        </w:rPr>
        <w:t>pedestrian walkways</w:t>
      </w:r>
      <w:r w:rsidRPr="00885A57">
        <w:rPr>
          <w:rFonts w:ascii="Times New Roman" w:eastAsia="標楷體" w:hAnsi="Times New Roman" w:cs="Times New Roman"/>
          <w:szCs w:val="24"/>
        </w:rPr>
        <w:t>. Specifically, equitable use,</w:t>
      </w:r>
      <w:r w:rsidR="00931A86">
        <w:rPr>
          <w:rFonts w:ascii="Times New Roman" w:eastAsia="標楷體" w:hAnsi="Times New Roman" w:cs="Times New Roman"/>
          <w:szCs w:val="24"/>
        </w:rPr>
        <w:t xml:space="preserve"> </w:t>
      </w:r>
      <w:r w:rsidR="002D0A9B">
        <w:rPr>
          <w:rFonts w:ascii="Times New Roman" w:eastAsia="標楷體" w:hAnsi="Times New Roman" w:cs="Times New Roman"/>
          <w:szCs w:val="24"/>
        </w:rPr>
        <w:t>s</w:t>
      </w:r>
      <w:r w:rsidR="002D0A9B" w:rsidRPr="002D0A9B">
        <w:rPr>
          <w:rFonts w:ascii="Times New Roman" w:eastAsia="標楷體" w:hAnsi="Times New Roman" w:cs="Times New Roman"/>
          <w:szCs w:val="24"/>
        </w:rPr>
        <w:t>imple and intuitive</w:t>
      </w:r>
      <w:r w:rsidR="00BB3579">
        <w:rPr>
          <w:rFonts w:ascii="Times New Roman" w:eastAsia="標楷體" w:hAnsi="Times New Roman" w:cs="Times New Roman"/>
          <w:szCs w:val="24"/>
        </w:rPr>
        <w:t>,</w:t>
      </w:r>
      <w:r w:rsidR="00931A86">
        <w:rPr>
          <w:rFonts w:ascii="Times New Roman" w:eastAsia="標楷體" w:hAnsi="Times New Roman" w:cs="Times New Roman"/>
          <w:szCs w:val="24"/>
        </w:rPr>
        <w:t xml:space="preserve"> t</w:t>
      </w:r>
      <w:r w:rsidR="00BB3579">
        <w:rPr>
          <w:rFonts w:ascii="Times New Roman" w:eastAsia="標楷體" w:hAnsi="Times New Roman" w:cs="Times New Roman"/>
          <w:szCs w:val="24"/>
        </w:rPr>
        <w:t>olerance for</w:t>
      </w:r>
      <w:r w:rsidRPr="00885A57">
        <w:rPr>
          <w:rFonts w:ascii="Times New Roman" w:eastAsia="標楷體" w:hAnsi="Times New Roman" w:cs="Times New Roman"/>
          <w:szCs w:val="24"/>
        </w:rPr>
        <w:t xml:space="preserve"> error,</w:t>
      </w:r>
      <w:r w:rsidR="00931A86">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low physical effort, perceptible information, and size and space for approach and use have been included in the handbook as principles for establishing pedestrian </w:t>
      </w:r>
      <w:r w:rsidR="00A922AD">
        <w:rPr>
          <w:rFonts w:ascii="Times New Roman" w:eastAsia="標楷體" w:hAnsi="Times New Roman" w:cs="Times New Roman"/>
          <w:szCs w:val="24"/>
        </w:rPr>
        <w:t xml:space="preserve">walkways </w:t>
      </w:r>
      <w:r w:rsidRPr="00885A57">
        <w:rPr>
          <w:rFonts w:ascii="Times New Roman" w:eastAsia="標楷體" w:hAnsi="Times New Roman" w:cs="Times New Roman"/>
          <w:szCs w:val="24"/>
        </w:rPr>
        <w:t>on urban roads, thereby facilitating the construction of convenient and accessible pedestrian facilities.</w:t>
      </w:r>
      <w:bookmarkEnd w:id="13"/>
    </w:p>
    <w:p w14:paraId="1F073563" w14:textId="5D3DA3B4" w:rsidR="007B4AAB" w:rsidRPr="00885A57" w:rsidRDefault="00F523B8"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4" w:name="_Ref55902379"/>
      <w:bookmarkStart w:id="15" w:name="_Ref39509691"/>
      <w:r w:rsidRPr="00885A57">
        <w:rPr>
          <w:rFonts w:ascii="Times New Roman" w:eastAsia="標楷體" w:hAnsi="Times New Roman" w:cs="Times New Roman"/>
          <w:szCs w:val="24"/>
        </w:rPr>
        <w:t>In 2020, the draft of the amendment to the PDRPA included principles of universal design, and the amended act is scheduled to come into effect in 2021. To promote construction of user-friendly accessible transport</w:t>
      </w:r>
      <w:r w:rsidR="00E93DD0" w:rsidRPr="00885A57">
        <w:rPr>
          <w:rFonts w:ascii="Times New Roman" w:eastAsia="標楷體" w:hAnsi="Times New Roman" w:cs="Times New Roman"/>
          <w:szCs w:val="28"/>
        </w:rPr>
        <w:t>ation</w:t>
      </w:r>
      <w:r w:rsidRPr="00885A57">
        <w:rPr>
          <w:rFonts w:ascii="Times New Roman" w:eastAsia="標楷體" w:hAnsi="Times New Roman" w:cs="Times New Roman"/>
          <w:szCs w:val="24"/>
        </w:rPr>
        <w:t xml:space="preserve"> systems for everyone, including people with disabilities, the elderly, and people with mobility difficulties, </w:t>
      </w:r>
      <w:r w:rsidR="00A922AD">
        <w:rPr>
          <w:rFonts w:ascii="Times New Roman" w:eastAsia="標楷體" w:hAnsi="Times New Roman" w:cs="Times New Roman"/>
          <w:szCs w:val="24"/>
        </w:rPr>
        <w:t xml:space="preserve">all </w:t>
      </w:r>
      <w:r w:rsidRPr="00885A57">
        <w:rPr>
          <w:rFonts w:ascii="Times New Roman" w:eastAsia="標楷體" w:hAnsi="Times New Roman" w:cs="Times New Roman"/>
          <w:szCs w:val="24"/>
        </w:rPr>
        <w:t>public transport</w:t>
      </w:r>
      <w:r w:rsidR="00E93DD0" w:rsidRPr="00885A57">
        <w:rPr>
          <w:rFonts w:ascii="Times New Roman" w:eastAsia="標楷體" w:hAnsi="Times New Roman" w:cs="Times New Roman"/>
          <w:szCs w:val="28"/>
        </w:rPr>
        <w:t>ation</w:t>
      </w:r>
      <w:r w:rsidRPr="00885A57">
        <w:rPr>
          <w:rFonts w:ascii="Times New Roman" w:eastAsia="標楷體" w:hAnsi="Times New Roman" w:cs="Times New Roman"/>
          <w:szCs w:val="24"/>
        </w:rPr>
        <w:t xml:space="preserve"> system</w:t>
      </w:r>
      <w:r w:rsidR="00A922AD">
        <w:rPr>
          <w:rFonts w:ascii="Times New Roman" w:eastAsia="標楷體" w:hAnsi="Times New Roman" w:cs="Times New Roman"/>
          <w:szCs w:val="24"/>
        </w:rPr>
        <w:t>s</w:t>
      </w:r>
      <w:r w:rsidRPr="00885A57">
        <w:rPr>
          <w:rFonts w:ascii="Times New Roman" w:eastAsia="標楷體" w:hAnsi="Times New Roman" w:cs="Times New Roman"/>
          <w:szCs w:val="24"/>
        </w:rPr>
        <w:t xml:space="preserve"> must follow the </w:t>
      </w:r>
      <w:r w:rsidRPr="002153DE">
        <w:rPr>
          <w:rFonts w:ascii="Times New Roman" w:eastAsia="標楷體" w:hAnsi="Times New Roman" w:cs="Times New Roman"/>
          <w:iCs/>
          <w:szCs w:val="24"/>
        </w:rPr>
        <w:t xml:space="preserve">Regulations </w:t>
      </w:r>
      <w:r w:rsidRPr="002153DE">
        <w:rPr>
          <w:rFonts w:ascii="Times New Roman" w:eastAsia="標楷體" w:hAnsi="Times New Roman" w:cs="Times New Roman"/>
          <w:iCs/>
          <w:szCs w:val="24"/>
        </w:rPr>
        <w:lastRenderedPageBreak/>
        <w:t xml:space="preserve">Governing the </w:t>
      </w:r>
      <w:r w:rsidR="00A922AD">
        <w:rPr>
          <w:rFonts w:ascii="Times New Roman" w:eastAsia="標楷體" w:hAnsi="Times New Roman" w:cs="Times New Roman"/>
          <w:iCs/>
          <w:szCs w:val="24"/>
        </w:rPr>
        <w:t xml:space="preserve">Installation </w:t>
      </w:r>
      <w:r w:rsidRPr="002153DE">
        <w:rPr>
          <w:rFonts w:ascii="Times New Roman" w:eastAsia="標楷體" w:hAnsi="Times New Roman" w:cs="Times New Roman"/>
          <w:iCs/>
          <w:szCs w:val="24"/>
        </w:rPr>
        <w:t xml:space="preserve">of Disabled Facilities in Public </w:t>
      </w:r>
      <w:r w:rsidR="00F71FD5" w:rsidRPr="002153DE">
        <w:rPr>
          <w:rFonts w:ascii="Times New Roman" w:eastAsia="標楷體" w:hAnsi="Times New Roman" w:cs="Times New Roman"/>
          <w:iCs/>
          <w:szCs w:val="24"/>
        </w:rPr>
        <w:t>Transportation</w:t>
      </w:r>
      <w:r w:rsidRPr="00885A57">
        <w:rPr>
          <w:rFonts w:ascii="Times New Roman" w:eastAsia="標楷體" w:hAnsi="Times New Roman" w:cs="Times New Roman"/>
          <w:szCs w:val="24"/>
        </w:rPr>
        <w:t xml:space="preserve">. Regulations for accessible facilities are specified in the building design and construction regulations of the </w:t>
      </w:r>
      <w:r w:rsidRPr="002153DE">
        <w:rPr>
          <w:rFonts w:ascii="Times New Roman" w:eastAsia="標楷體" w:hAnsi="Times New Roman" w:cs="Times New Roman"/>
          <w:iCs/>
          <w:szCs w:val="24"/>
        </w:rPr>
        <w:t>Building Technical Regulations</w:t>
      </w:r>
      <w:r w:rsidRPr="00885A57">
        <w:rPr>
          <w:rFonts w:ascii="Times New Roman" w:eastAsia="標楷體" w:hAnsi="Times New Roman" w:cs="Times New Roman"/>
          <w:szCs w:val="24"/>
        </w:rPr>
        <w:t xml:space="preserve"> and the </w:t>
      </w:r>
      <w:r w:rsidRPr="002153DE">
        <w:rPr>
          <w:rFonts w:ascii="Times New Roman" w:eastAsia="標楷體" w:hAnsi="Times New Roman" w:cs="Times New Roman"/>
          <w:iCs/>
          <w:szCs w:val="24"/>
        </w:rPr>
        <w:t>Design Specifications of Accessible and Usable Buildings and Facilities</w:t>
      </w:r>
      <w:r w:rsidRPr="00885A57">
        <w:rPr>
          <w:rFonts w:ascii="Times New Roman" w:eastAsia="標楷體" w:hAnsi="Times New Roman" w:cs="Times New Roman"/>
          <w:szCs w:val="24"/>
        </w:rPr>
        <w:t>.</w:t>
      </w:r>
      <w:bookmarkEnd w:id="14"/>
      <w:bookmarkEnd w:id="15"/>
    </w:p>
    <w:p w14:paraId="455D95CA" w14:textId="7A5FBAEB" w:rsidR="0040363C" w:rsidRPr="00885A57" w:rsidRDefault="00F523B8"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Universal design principles are included in both general and special education settings and curricula; for instance, in the basic concepts, teacher training, and student promotion specified in the </w:t>
      </w:r>
      <w:r w:rsidRPr="002153DE">
        <w:rPr>
          <w:rFonts w:ascii="Times New Roman" w:eastAsia="標楷體" w:hAnsi="Times New Roman" w:cs="Times New Roman"/>
          <w:iCs/>
          <w:szCs w:val="24"/>
        </w:rPr>
        <w:t>Curriculum Guidelines of 12-Year Basic Education: General Guidelines</w:t>
      </w:r>
      <w:r w:rsidRPr="00885A57">
        <w:rPr>
          <w:rFonts w:ascii="Times New Roman" w:eastAsia="標楷體" w:hAnsi="Times New Roman" w:cs="Times New Roman"/>
          <w:szCs w:val="24"/>
        </w:rPr>
        <w:t>. For more de</w:t>
      </w:r>
      <w:r w:rsidR="00D952CE">
        <w:rPr>
          <w:rFonts w:ascii="Times New Roman" w:eastAsia="標楷體" w:hAnsi="Times New Roman" w:cs="Times New Roman"/>
          <w:szCs w:val="24"/>
        </w:rPr>
        <w:t>tail, please refer to Article 8</w:t>
      </w:r>
      <w:r w:rsidR="00931A86">
        <w:rPr>
          <w:rFonts w:ascii="Times New Roman" w:eastAsia="標楷體" w:hAnsi="Times New Roman" w:cs="Times New Roman"/>
          <w:szCs w:val="24"/>
        </w:rPr>
        <w:t xml:space="preserve">: </w:t>
      </w:r>
      <w:r w:rsidRPr="00885A57">
        <w:rPr>
          <w:rFonts w:ascii="Times New Roman" w:eastAsia="標楷體" w:hAnsi="Times New Roman" w:cs="Times New Roman"/>
          <w:szCs w:val="24"/>
        </w:rPr>
        <w:t>Awareness</w:t>
      </w:r>
      <w:r w:rsidR="00A922AD">
        <w:rPr>
          <w:rFonts w:ascii="Times New Roman" w:eastAsia="標楷體" w:hAnsi="Times New Roman" w:cs="Times New Roman"/>
          <w:szCs w:val="24"/>
        </w:rPr>
        <w:t xml:space="preserve"> </w:t>
      </w:r>
      <w:r w:rsidRPr="00885A57">
        <w:rPr>
          <w:rFonts w:ascii="Times New Roman" w:eastAsia="標楷體" w:hAnsi="Times New Roman" w:cs="Times New Roman"/>
          <w:szCs w:val="24"/>
        </w:rPr>
        <w:t>raising (</w:t>
      </w:r>
      <w:r w:rsidR="006F1055">
        <w:rPr>
          <w:rFonts w:ascii="Times New Roman" w:eastAsia="標楷體" w:hAnsi="Times New Roman" w:cs="Times New Roman"/>
          <w:szCs w:val="24"/>
        </w:rPr>
        <w:t>Points</w:t>
      </w:r>
      <w:r w:rsidR="00A922AD"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fldChar w:fldCharType="begin"/>
      </w:r>
      <w:r w:rsidRPr="00885A57">
        <w:rPr>
          <w:rFonts w:ascii="Times New Roman" w:eastAsia="標楷體" w:hAnsi="Times New Roman" w:cs="Times New Roman"/>
          <w:szCs w:val="24"/>
        </w:rPr>
        <w:instrText xml:space="preserve"> REF _Ref52263233 \r \h  \* MERGEFORMAT </w:instrText>
      </w:r>
      <w:r w:rsidRPr="00885A57">
        <w:rPr>
          <w:rFonts w:ascii="Times New Roman" w:eastAsia="標楷體" w:hAnsi="Times New Roman" w:cs="Times New Roman"/>
          <w:szCs w:val="24"/>
        </w:rPr>
      </w:r>
      <w:r w:rsidRPr="00885A57">
        <w:rPr>
          <w:rFonts w:ascii="Times New Roman" w:eastAsia="標楷體" w:hAnsi="Times New Roman" w:cs="Times New Roman"/>
          <w:szCs w:val="24"/>
        </w:rPr>
        <w:fldChar w:fldCharType="separate"/>
      </w:r>
      <w:r w:rsidR="00F00A73">
        <w:rPr>
          <w:rFonts w:ascii="Times New Roman" w:eastAsia="標楷體" w:hAnsi="Times New Roman" w:cs="Times New Roman"/>
          <w:szCs w:val="24"/>
        </w:rPr>
        <w:t>58</w:t>
      </w:r>
      <w:r w:rsidRPr="00885A57">
        <w:rPr>
          <w:rFonts w:ascii="Times New Roman" w:eastAsia="標楷體" w:hAnsi="Times New Roman" w:cs="Times New Roman"/>
          <w:szCs w:val="24"/>
        </w:rPr>
        <w:fldChar w:fldCharType="end"/>
      </w:r>
      <w:r w:rsidRPr="00885A57">
        <w:rPr>
          <w:rFonts w:ascii="Times New Roman" w:eastAsia="標楷體" w:hAnsi="Times New Roman" w:cs="Times New Roman"/>
          <w:szCs w:val="24"/>
        </w:rPr>
        <w:t xml:space="preserve"> and </w:t>
      </w:r>
      <w:r w:rsidRPr="00885A57">
        <w:rPr>
          <w:rFonts w:ascii="Times New Roman" w:eastAsia="標楷體" w:hAnsi="Times New Roman" w:cs="Times New Roman"/>
          <w:szCs w:val="24"/>
        </w:rPr>
        <w:fldChar w:fldCharType="begin"/>
      </w:r>
      <w:r w:rsidRPr="00885A57">
        <w:rPr>
          <w:rFonts w:ascii="Times New Roman" w:eastAsia="標楷體" w:hAnsi="Times New Roman" w:cs="Times New Roman"/>
          <w:szCs w:val="24"/>
        </w:rPr>
        <w:instrText xml:space="preserve"> REF _Ref52263238 \r \h  \* MERGEFORMAT </w:instrText>
      </w:r>
      <w:r w:rsidRPr="00885A57">
        <w:rPr>
          <w:rFonts w:ascii="Times New Roman" w:eastAsia="標楷體" w:hAnsi="Times New Roman" w:cs="Times New Roman"/>
          <w:szCs w:val="24"/>
        </w:rPr>
      </w:r>
      <w:r w:rsidRPr="00885A57">
        <w:rPr>
          <w:rFonts w:ascii="Times New Roman" w:eastAsia="標楷體" w:hAnsi="Times New Roman" w:cs="Times New Roman"/>
          <w:szCs w:val="24"/>
        </w:rPr>
        <w:fldChar w:fldCharType="separate"/>
      </w:r>
      <w:r w:rsidR="00F00A73">
        <w:rPr>
          <w:rFonts w:ascii="Times New Roman" w:eastAsia="標楷體" w:hAnsi="Times New Roman" w:cs="Times New Roman"/>
          <w:szCs w:val="24"/>
        </w:rPr>
        <w:t>59</w:t>
      </w:r>
      <w:r w:rsidRPr="00885A57">
        <w:rPr>
          <w:rFonts w:ascii="Times New Roman" w:eastAsia="標楷體" w:hAnsi="Times New Roman" w:cs="Times New Roman"/>
          <w:szCs w:val="24"/>
        </w:rPr>
        <w:fldChar w:fldCharType="end"/>
      </w:r>
      <w:r w:rsidR="00D952CE">
        <w:rPr>
          <w:rFonts w:ascii="Times New Roman" w:eastAsia="標楷體" w:hAnsi="Times New Roman" w:cs="Times New Roman"/>
          <w:szCs w:val="24"/>
        </w:rPr>
        <w:t>)</w:t>
      </w:r>
      <w:r w:rsidR="00931A86">
        <w:rPr>
          <w:rFonts w:ascii="Times New Roman" w:eastAsia="標楷體" w:hAnsi="Times New Roman" w:cs="Times New Roman"/>
          <w:szCs w:val="24"/>
        </w:rPr>
        <w:t xml:space="preserve"> </w:t>
      </w:r>
      <w:r w:rsidRPr="00885A57">
        <w:rPr>
          <w:rFonts w:ascii="Times New Roman" w:eastAsia="標楷體" w:hAnsi="Times New Roman" w:cs="Times New Roman"/>
          <w:szCs w:val="24"/>
        </w:rPr>
        <w:t>and Article 24</w:t>
      </w:r>
      <w:r w:rsidR="00931A86">
        <w:rPr>
          <w:rFonts w:ascii="Times New Roman" w:eastAsia="標楷體" w:hAnsi="Times New Roman" w:cs="Times New Roman"/>
          <w:szCs w:val="24"/>
        </w:rPr>
        <w:t xml:space="preserve">: </w:t>
      </w:r>
      <w:r w:rsidRPr="00885A57">
        <w:rPr>
          <w:rFonts w:ascii="Times New Roman" w:eastAsia="標楷體" w:hAnsi="Times New Roman" w:cs="Times New Roman"/>
          <w:szCs w:val="24"/>
        </w:rPr>
        <w:t>Education (</w:t>
      </w:r>
      <w:r w:rsidR="006F1055">
        <w:rPr>
          <w:rFonts w:ascii="Times New Roman" w:eastAsia="標楷體" w:hAnsi="Times New Roman" w:cs="Times New Roman"/>
          <w:szCs w:val="24"/>
        </w:rPr>
        <w:t xml:space="preserve">Point </w:t>
      </w:r>
      <w:r w:rsidRPr="00885A57">
        <w:rPr>
          <w:rFonts w:ascii="Times New Roman" w:eastAsia="標楷體" w:hAnsi="Times New Roman" w:cs="Times New Roman"/>
          <w:szCs w:val="24"/>
        </w:rPr>
        <w:fldChar w:fldCharType="begin"/>
      </w:r>
      <w:r w:rsidRPr="00885A57">
        <w:rPr>
          <w:rFonts w:ascii="Times New Roman" w:eastAsia="標楷體" w:hAnsi="Times New Roman" w:cs="Times New Roman"/>
          <w:szCs w:val="24"/>
        </w:rPr>
        <w:instrText xml:space="preserve"> REF _Ref45902139 \r \h  \* MERGEFORMAT </w:instrText>
      </w:r>
      <w:r w:rsidRPr="00885A57">
        <w:rPr>
          <w:rFonts w:ascii="Times New Roman" w:eastAsia="標楷體" w:hAnsi="Times New Roman" w:cs="Times New Roman"/>
          <w:szCs w:val="24"/>
        </w:rPr>
      </w:r>
      <w:r w:rsidRPr="00885A57">
        <w:rPr>
          <w:rFonts w:ascii="Times New Roman" w:eastAsia="標楷體" w:hAnsi="Times New Roman" w:cs="Times New Roman"/>
          <w:szCs w:val="24"/>
        </w:rPr>
        <w:fldChar w:fldCharType="separate"/>
      </w:r>
      <w:r w:rsidR="00F00A73">
        <w:rPr>
          <w:rFonts w:ascii="Times New Roman" w:eastAsia="標楷體" w:hAnsi="Times New Roman" w:cs="Times New Roman"/>
          <w:szCs w:val="24"/>
        </w:rPr>
        <w:t>198</w:t>
      </w:r>
      <w:r w:rsidRPr="00885A57">
        <w:rPr>
          <w:rFonts w:ascii="Times New Roman" w:eastAsia="標楷體" w:hAnsi="Times New Roman" w:cs="Times New Roman"/>
          <w:szCs w:val="24"/>
        </w:rPr>
        <w:fldChar w:fldCharType="end"/>
      </w:r>
      <w:r w:rsidRPr="00885A57">
        <w:rPr>
          <w:rFonts w:ascii="Times New Roman" w:eastAsia="標楷體" w:hAnsi="Times New Roman" w:cs="Times New Roman"/>
          <w:szCs w:val="24"/>
        </w:rPr>
        <w:t>).</w:t>
      </w:r>
    </w:p>
    <w:p w14:paraId="1A448BD4" w14:textId="6EE59DB3" w:rsidR="00CC4181" w:rsidRPr="00885A57" w:rsidRDefault="00215775"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6" w:name="_Ref49783721"/>
      <w:r w:rsidRPr="00885A57">
        <w:rPr>
          <w:rFonts w:ascii="Times New Roman" w:eastAsia="標楷體" w:hAnsi="Times New Roman" w:cs="Times New Roman"/>
          <w:szCs w:val="24"/>
        </w:rPr>
        <w:t>The MOHW is currently implementing universal design initiatives, such as promoting certification of ag</w:t>
      </w:r>
      <w:r w:rsidR="00931A86">
        <w:rPr>
          <w:rFonts w:ascii="Times New Roman" w:eastAsia="標楷體" w:hAnsi="Times New Roman" w:cs="Times New Roman"/>
          <w:szCs w:val="24"/>
        </w:rPr>
        <w:t>e</w:t>
      </w:r>
      <w:r w:rsidRPr="00885A57">
        <w:rPr>
          <w:rFonts w:ascii="Times New Roman" w:eastAsia="標楷體" w:hAnsi="Times New Roman" w:cs="Times New Roman"/>
          <w:szCs w:val="24"/>
        </w:rPr>
        <w:t xml:space="preserve">ing-friendly healthcare institutions, encouraging clinics to construct patient-friendly environments, devising a handbook on providing an accessible environment in </w:t>
      </w:r>
      <w:r w:rsidR="00D952CE">
        <w:rPr>
          <w:rFonts w:ascii="Times New Roman" w:eastAsia="標楷體" w:hAnsi="Times New Roman" w:cs="Times New Roman"/>
          <w:szCs w:val="24"/>
        </w:rPr>
        <w:t>medical institutions</w:t>
      </w:r>
      <w:r w:rsidRPr="00885A57">
        <w:rPr>
          <w:rFonts w:ascii="Times New Roman" w:eastAsia="標楷體" w:hAnsi="Times New Roman" w:cs="Times New Roman"/>
          <w:szCs w:val="24"/>
        </w:rPr>
        <w:t>, developing patient-friendly medical service procedures, and guaranteeing medication safety for people with visual impairment. For more details, please refer to Article 25</w:t>
      </w:r>
      <w:r w:rsidR="00931A86">
        <w:rPr>
          <w:rFonts w:ascii="Times New Roman" w:eastAsia="標楷體" w:hAnsi="Times New Roman" w:cs="Times New Roman"/>
          <w:szCs w:val="24"/>
        </w:rPr>
        <w:t xml:space="preserve">: </w:t>
      </w:r>
      <w:r w:rsidRPr="00885A57">
        <w:rPr>
          <w:rFonts w:ascii="Times New Roman" w:eastAsia="標楷體" w:hAnsi="Times New Roman" w:cs="Times New Roman"/>
          <w:szCs w:val="24"/>
        </w:rPr>
        <w:t>Health (</w:t>
      </w:r>
      <w:r w:rsidR="006F1055">
        <w:rPr>
          <w:rFonts w:ascii="Times New Roman" w:eastAsia="標楷體" w:hAnsi="Times New Roman" w:cs="Times New Roman"/>
          <w:szCs w:val="24"/>
        </w:rPr>
        <w:t>Points</w:t>
      </w:r>
      <w:r w:rsidR="00A922AD" w:rsidRPr="00885A57">
        <w:rPr>
          <w:rFonts w:ascii="Times New Roman" w:eastAsia="標楷體" w:hAnsi="Times New Roman" w:cs="Times New Roman"/>
          <w:szCs w:val="24"/>
        </w:rPr>
        <w:t xml:space="preserve"> </w:t>
      </w:r>
      <w:r w:rsidR="00EC288E" w:rsidRPr="00885A57">
        <w:rPr>
          <w:rFonts w:ascii="Times New Roman" w:eastAsia="標楷體" w:hAnsi="Times New Roman" w:cs="Times New Roman"/>
          <w:szCs w:val="24"/>
        </w:rPr>
        <w:t>212</w:t>
      </w:r>
      <w:r w:rsidR="00A922AD">
        <w:rPr>
          <w:rFonts w:ascii="Times New Roman" w:eastAsia="標楷體" w:hAnsi="Times New Roman" w:cs="Times New Roman"/>
          <w:szCs w:val="24"/>
        </w:rPr>
        <w:t>-</w:t>
      </w:r>
      <w:r w:rsidRPr="00885A57">
        <w:rPr>
          <w:rFonts w:ascii="Times New Roman" w:eastAsia="標楷體" w:hAnsi="Times New Roman" w:cs="Times New Roman"/>
          <w:szCs w:val="24"/>
        </w:rPr>
        <w:t>223)</w:t>
      </w:r>
      <w:bookmarkEnd w:id="16"/>
      <w:r w:rsidRPr="00885A57">
        <w:rPr>
          <w:rFonts w:ascii="Times New Roman" w:eastAsia="標楷體" w:hAnsi="Times New Roman" w:cs="Times New Roman"/>
          <w:szCs w:val="24"/>
        </w:rPr>
        <w:t>.</w:t>
      </w:r>
    </w:p>
    <w:p w14:paraId="04E61EAC" w14:textId="6D1497A8" w:rsidR="00077C6A" w:rsidRPr="00885A57" w:rsidRDefault="00215775"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In 2019, the MOHW compiled the </w:t>
      </w:r>
      <w:r w:rsidRPr="002153DE">
        <w:rPr>
          <w:rFonts w:ascii="Times New Roman" w:eastAsia="標楷體" w:hAnsi="Times New Roman" w:cs="Times New Roman"/>
          <w:iCs/>
          <w:szCs w:val="24"/>
        </w:rPr>
        <w:t>Guide for Accessible Meetings and Events for Persons with Disabilities</w:t>
      </w:r>
      <w:r w:rsidRPr="00885A57">
        <w:rPr>
          <w:rFonts w:ascii="Times New Roman" w:eastAsia="標楷體" w:hAnsi="Times New Roman" w:cs="Times New Roman"/>
          <w:szCs w:val="24"/>
        </w:rPr>
        <w:t xml:space="preserve"> after consulting people with disabilities and their representative organizations. The MOHW proceeded to review and revise the guide in 2020; the revised guide </w:t>
      </w:r>
      <w:r w:rsidR="00E64191">
        <w:rPr>
          <w:rFonts w:ascii="Times New Roman" w:eastAsia="標楷體" w:hAnsi="Times New Roman" w:cs="Times New Roman"/>
          <w:szCs w:val="24"/>
        </w:rPr>
        <w:t xml:space="preserve">helps </w:t>
      </w:r>
      <w:r w:rsidRPr="00885A57">
        <w:rPr>
          <w:rFonts w:ascii="Times New Roman" w:eastAsia="標楷體" w:hAnsi="Times New Roman" w:cs="Times New Roman"/>
          <w:szCs w:val="24"/>
        </w:rPr>
        <w:t xml:space="preserve">public and private sector entities verify whether the physical environment and information </w:t>
      </w:r>
      <w:r w:rsidR="00E64191" w:rsidRPr="00885A57">
        <w:rPr>
          <w:rFonts w:ascii="Times New Roman" w:eastAsia="標楷體" w:hAnsi="Times New Roman" w:cs="Times New Roman"/>
          <w:szCs w:val="24"/>
        </w:rPr>
        <w:t xml:space="preserve">provided </w:t>
      </w:r>
      <w:r w:rsidRPr="00885A57">
        <w:rPr>
          <w:rFonts w:ascii="Times New Roman" w:eastAsia="標楷體" w:hAnsi="Times New Roman" w:cs="Times New Roman"/>
          <w:szCs w:val="24"/>
        </w:rPr>
        <w:t>satisfy the diverse requirements of people with disabilities, thereby ensuring their participation in meetings and activities to foster inclusivity.</w:t>
      </w:r>
    </w:p>
    <w:p w14:paraId="0B335B78" w14:textId="35B5B159" w:rsidR="00EB45F0" w:rsidRPr="00885A57" w:rsidRDefault="00215775" w:rsidP="001A2139">
      <w:pPr>
        <w:pStyle w:val="a7"/>
        <w:numPr>
          <w:ilvl w:val="0"/>
          <w:numId w:val="2"/>
        </w:numPr>
        <w:spacing w:after="120" w:line="360" w:lineRule="auto"/>
        <w:ind w:leftChars="0"/>
        <w:jc w:val="both"/>
        <w:rPr>
          <w:rFonts w:ascii="Times New Roman" w:eastAsia="標楷體" w:hAnsi="Times New Roman" w:cs="Times New Roman"/>
          <w:strike/>
          <w:szCs w:val="24"/>
        </w:rPr>
      </w:pPr>
      <w:r w:rsidRPr="00885A57">
        <w:rPr>
          <w:rFonts w:ascii="Times New Roman" w:eastAsia="標楷體" w:hAnsi="Times New Roman" w:cs="Times New Roman"/>
          <w:szCs w:val="24"/>
        </w:rPr>
        <w:lastRenderedPageBreak/>
        <w:t>CRPD implementation by central and local governments</w:t>
      </w:r>
    </w:p>
    <w:p w14:paraId="1D0CB196" w14:textId="3F0073B2" w:rsidR="00CF7335" w:rsidRPr="00885A57" w:rsidRDefault="00215775"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7" w:name="_Ref55902958"/>
      <w:r w:rsidRPr="00885A57">
        <w:rPr>
          <w:rFonts w:ascii="Times New Roman" w:eastAsia="標楷體" w:hAnsi="Times New Roman" w:cs="Times New Roman"/>
          <w:szCs w:val="24"/>
        </w:rPr>
        <w:t xml:space="preserve">To raise disability awareness among personnel </w:t>
      </w:r>
      <w:r w:rsidR="00E64191">
        <w:rPr>
          <w:rFonts w:ascii="Times New Roman" w:eastAsia="標楷體" w:hAnsi="Times New Roman" w:cs="Times New Roman"/>
          <w:szCs w:val="24"/>
        </w:rPr>
        <w:t>at</w:t>
      </w:r>
      <w:r w:rsidR="00E64191"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government agencies and </w:t>
      </w:r>
      <w:r w:rsidR="00A922AD">
        <w:rPr>
          <w:rFonts w:ascii="Times New Roman" w:eastAsia="標楷體" w:hAnsi="Times New Roman" w:cs="Times New Roman"/>
          <w:szCs w:val="24"/>
        </w:rPr>
        <w:t xml:space="preserve">to </w:t>
      </w:r>
      <w:r w:rsidRPr="00885A57">
        <w:rPr>
          <w:rFonts w:ascii="Times New Roman" w:eastAsia="標楷體" w:hAnsi="Times New Roman" w:cs="Times New Roman"/>
          <w:szCs w:val="24"/>
        </w:rPr>
        <w:t xml:space="preserve">ensure compliance with </w:t>
      </w:r>
      <w:r w:rsidR="00A922AD">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CRPD obligations </w:t>
      </w:r>
      <w:r w:rsidR="00E64191">
        <w:rPr>
          <w:rFonts w:ascii="Times New Roman" w:eastAsia="標楷體" w:hAnsi="Times New Roman" w:cs="Times New Roman"/>
          <w:szCs w:val="24"/>
        </w:rPr>
        <w:t xml:space="preserve">of </w:t>
      </w:r>
      <w:r w:rsidRPr="00885A57">
        <w:rPr>
          <w:rFonts w:ascii="Times New Roman" w:eastAsia="標楷體" w:hAnsi="Times New Roman" w:cs="Times New Roman"/>
          <w:szCs w:val="24"/>
        </w:rPr>
        <w:t xml:space="preserve">local governments and administrative authorities, the MOHW requested local governments to establish a CRPD promotion initiative in 2018. In 2019, the </w:t>
      </w:r>
      <w:r w:rsidR="00E64191">
        <w:rPr>
          <w:rFonts w:ascii="Times New Roman" w:eastAsia="標楷體" w:hAnsi="Times New Roman" w:cs="Times New Roman"/>
          <w:szCs w:val="24"/>
        </w:rPr>
        <w:t xml:space="preserve">Ministry </w:t>
      </w:r>
      <w:r w:rsidRPr="00885A57">
        <w:rPr>
          <w:rFonts w:ascii="Times New Roman" w:eastAsia="標楷體" w:hAnsi="Times New Roman" w:cs="Times New Roman"/>
          <w:szCs w:val="24"/>
        </w:rPr>
        <w:t xml:space="preserve">prioritized disbursing grants for disability training schemes and disability awareness campaigns, encouraged local governments and social welfare organizations to promote relevant programs, and </w:t>
      </w:r>
      <w:r w:rsidR="00A922AD">
        <w:rPr>
          <w:rFonts w:ascii="Times New Roman" w:eastAsia="標楷體" w:hAnsi="Times New Roman" w:cs="Times New Roman"/>
          <w:szCs w:val="24"/>
        </w:rPr>
        <w:t>allowed</w:t>
      </w:r>
      <w:r w:rsidR="00A922AD"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the provision of courses related to the CRPD training scheme</w:t>
      </w:r>
      <w:r w:rsidRPr="00A922AD">
        <w:rPr>
          <w:rFonts w:ascii="Times New Roman" w:eastAsia="標楷體" w:hAnsi="Times New Roman" w:cs="Times New Roman"/>
          <w:szCs w:val="24"/>
        </w:rPr>
        <w:t xml:space="preserve"> and awareness raising</w:t>
      </w:r>
      <w:r w:rsidRPr="00885A57">
        <w:rPr>
          <w:rFonts w:ascii="Times New Roman" w:eastAsia="標楷體" w:hAnsi="Times New Roman" w:cs="Times New Roman"/>
          <w:szCs w:val="24"/>
        </w:rPr>
        <w:t xml:space="preserve"> as a social welfare performance indicator for local governments</w:t>
      </w:r>
      <w:r w:rsidR="00E64191">
        <w:rPr>
          <w:rFonts w:ascii="Times New Roman" w:eastAsia="標楷體" w:hAnsi="Times New Roman" w:cs="Times New Roman"/>
          <w:szCs w:val="24"/>
        </w:rPr>
        <w:t>.</w:t>
      </w:r>
      <w:r w:rsidRPr="00885A57">
        <w:rPr>
          <w:rFonts w:ascii="Times New Roman" w:eastAsia="標楷體" w:hAnsi="Times New Roman" w:cs="Times New Roman"/>
          <w:szCs w:val="24"/>
        </w:rPr>
        <w:t xml:space="preserve"> </w:t>
      </w:r>
      <w:r w:rsidR="00E64191">
        <w:rPr>
          <w:rFonts w:ascii="Times New Roman" w:eastAsia="標楷體" w:hAnsi="Times New Roman" w:cs="Times New Roman"/>
          <w:szCs w:val="24"/>
        </w:rPr>
        <w:t>O</w:t>
      </w:r>
      <w:r w:rsidR="00E64191" w:rsidRPr="00885A57">
        <w:rPr>
          <w:rFonts w:ascii="Times New Roman" w:eastAsia="標楷體" w:hAnsi="Times New Roman" w:cs="Times New Roman"/>
          <w:szCs w:val="24"/>
        </w:rPr>
        <w:t xml:space="preserve">n </w:t>
      </w:r>
      <w:r w:rsidRPr="00885A57">
        <w:rPr>
          <w:rFonts w:ascii="Times New Roman" w:eastAsia="標楷體" w:hAnsi="Times New Roman" w:cs="Times New Roman"/>
          <w:szCs w:val="24"/>
        </w:rPr>
        <w:t xml:space="preserve">the basis of the foregoing, they assessed the results of CRPD promotion by governments </w:t>
      </w:r>
      <w:r w:rsidR="00E64191">
        <w:rPr>
          <w:rFonts w:ascii="Times New Roman" w:eastAsia="標楷體" w:hAnsi="Times New Roman" w:cs="Times New Roman"/>
          <w:szCs w:val="24"/>
        </w:rPr>
        <w:t>at</w:t>
      </w:r>
      <w:r w:rsidR="00E64191"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all levels.</w:t>
      </w:r>
      <w:bookmarkEnd w:id="17"/>
      <w:r w:rsidRPr="00885A57">
        <w:rPr>
          <w:rFonts w:ascii="Times New Roman" w:eastAsia="標楷體" w:hAnsi="Times New Roman" w:cs="Times New Roman"/>
          <w:vertAlign w:val="superscript"/>
        </w:rPr>
        <w:footnoteReference w:id="8"/>
      </w:r>
    </w:p>
    <w:p w14:paraId="6CEF2664" w14:textId="578AA3CB" w:rsidR="00BD2BA0" w:rsidRPr="00885A57" w:rsidRDefault="00215775"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8" w:name="_Ref55902898"/>
      <w:r w:rsidRPr="00885A57">
        <w:rPr>
          <w:rFonts w:ascii="Times New Roman" w:eastAsia="標楷體" w:hAnsi="Times New Roman" w:cs="Times New Roman"/>
          <w:szCs w:val="24"/>
        </w:rPr>
        <w:t xml:space="preserve">At present, </w:t>
      </w:r>
      <w:r w:rsidR="00E64191">
        <w:rPr>
          <w:rFonts w:ascii="Times New Roman" w:eastAsia="標楷體" w:hAnsi="Times New Roman" w:cs="Times New Roman"/>
          <w:szCs w:val="24"/>
        </w:rPr>
        <w:t xml:space="preserve">governments at all levels </w:t>
      </w:r>
      <w:r w:rsidRPr="00885A57">
        <w:rPr>
          <w:rFonts w:ascii="Times New Roman" w:eastAsia="標楷體" w:hAnsi="Times New Roman" w:cs="Times New Roman"/>
          <w:szCs w:val="24"/>
        </w:rPr>
        <w:t>have established ad hoc groups to advocate for the rights of people with disabilities; such groups constitute a critical mechanism for people with disabilities and their representative organizations to engage in relevant legislative and policymaking processes. In 2020, the draft to the PDRPA amendment stipulated that the number of people with disabilities in such groups must be at least a quarter of the total number of group members, thereby guaranteeing the participation of said people.</w:t>
      </w:r>
      <w:bookmarkEnd w:id="18"/>
      <w:r w:rsidRPr="00885A57">
        <w:rPr>
          <w:rFonts w:ascii="Times New Roman" w:eastAsia="標楷體" w:hAnsi="Times New Roman" w:cs="Times New Roman"/>
          <w:vertAlign w:val="superscript"/>
        </w:rPr>
        <w:footnoteReference w:id="9"/>
      </w:r>
    </w:p>
    <w:p w14:paraId="0BC03E28" w14:textId="54E635C1" w:rsidR="00B33282" w:rsidRPr="00885A57" w:rsidRDefault="00B27709"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total annual budget for programs related to people with disabilities prepared by central and local governments increased from NT$81.1 billion in 2016 to </w:t>
      </w:r>
      <w:r w:rsidRPr="00885A57">
        <w:rPr>
          <w:rFonts w:ascii="Times New Roman" w:eastAsia="標楷體" w:hAnsi="Times New Roman" w:cs="Times New Roman"/>
          <w:szCs w:val="24"/>
        </w:rPr>
        <w:lastRenderedPageBreak/>
        <w:t xml:space="preserve">NT$93.5 billion in 2019 (Table 1.4). Budget line items include direct and indirect budgets. Direct budgets include personal cash grants and tax credits. For example, living allowances for people with disabilities totaled approximately NT$21.3 billion annually, and the special deduction of individual income tax by people with disabilities in both 2018 and 2019 amounted to NT$200,000 per capita (Table 1.5). Tax exemptions (including deductions </w:t>
      </w:r>
      <w:r w:rsidR="00E64191">
        <w:rPr>
          <w:rFonts w:ascii="Times New Roman" w:eastAsia="標楷體" w:hAnsi="Times New Roman" w:cs="Times New Roman"/>
          <w:szCs w:val="24"/>
        </w:rPr>
        <w:t xml:space="preserve">on </w:t>
      </w:r>
      <w:r w:rsidRPr="00885A57">
        <w:rPr>
          <w:rFonts w:ascii="Times New Roman" w:eastAsia="標楷體" w:hAnsi="Times New Roman" w:cs="Times New Roman"/>
          <w:szCs w:val="24"/>
        </w:rPr>
        <w:t>individual income tax, commodity tax, and vehicle license tax) totaled roughly NT$10.9 billion, and other social insurance payment and cash grants</w:t>
      </w:r>
      <w:r w:rsidRPr="00885A57">
        <w:rPr>
          <w:rStyle w:val="ab"/>
          <w:rFonts w:ascii="Times New Roman" w:eastAsia="標楷體" w:hAnsi="Times New Roman" w:cs="Times New Roman"/>
        </w:rPr>
        <w:footnoteReference w:id="10"/>
      </w:r>
      <w:r w:rsidRPr="00885A57">
        <w:rPr>
          <w:rFonts w:ascii="Times New Roman" w:eastAsia="標楷體" w:hAnsi="Times New Roman" w:cs="Times New Roman"/>
          <w:szCs w:val="24"/>
        </w:rPr>
        <w:t xml:space="preserve"> amounted to NT$15 billion. Indirect budgets refer to preferential measures and services aimed at reducing the burden of people with disabilities and include budgets for social insurance subsidies (including labor insurance, NHI premium</w:t>
      </w:r>
      <w:r w:rsidR="00A922AD">
        <w:rPr>
          <w:rFonts w:ascii="Times New Roman" w:eastAsia="標楷體" w:hAnsi="Times New Roman" w:cs="Times New Roman"/>
          <w:szCs w:val="24"/>
        </w:rPr>
        <w:t>s</w:t>
      </w:r>
      <w:r w:rsidRPr="00885A57">
        <w:rPr>
          <w:rFonts w:ascii="Times New Roman" w:eastAsia="標楷體" w:hAnsi="Times New Roman" w:cs="Times New Roman"/>
          <w:szCs w:val="24"/>
        </w:rPr>
        <w:t>, farmers’ health insurance, and national pension</w:t>
      </w:r>
      <w:r w:rsidR="00A922AD">
        <w:rPr>
          <w:rFonts w:ascii="Times New Roman" w:eastAsia="標楷體" w:hAnsi="Times New Roman" w:cs="Times New Roman"/>
          <w:szCs w:val="24"/>
        </w:rPr>
        <w:t>s</w:t>
      </w:r>
      <w:r w:rsidRPr="00885A57">
        <w:rPr>
          <w:rFonts w:ascii="Times New Roman" w:eastAsia="標楷體" w:hAnsi="Times New Roman" w:cs="Times New Roman"/>
          <w:szCs w:val="24"/>
        </w:rPr>
        <w:t xml:space="preserve">) totaling NT$7.9 billion; other indirect budgets </w:t>
      </w:r>
      <w:r w:rsidR="00A922AD">
        <w:rPr>
          <w:rFonts w:ascii="Times New Roman" w:eastAsia="標楷體" w:hAnsi="Times New Roman" w:cs="Times New Roman"/>
          <w:szCs w:val="24"/>
        </w:rPr>
        <w:t xml:space="preserve">include </w:t>
      </w:r>
      <w:r w:rsidRPr="00885A57">
        <w:rPr>
          <w:rFonts w:ascii="Times New Roman" w:eastAsia="標楷體" w:hAnsi="Times New Roman" w:cs="Times New Roman"/>
          <w:szCs w:val="24"/>
        </w:rPr>
        <w:t>disbursements to education</w:t>
      </w:r>
      <w:r w:rsidR="00A922AD">
        <w:rPr>
          <w:rFonts w:ascii="Times New Roman" w:eastAsia="標楷體" w:hAnsi="Times New Roman" w:cs="Times New Roman"/>
          <w:szCs w:val="24"/>
        </w:rPr>
        <w:t>al</w:t>
      </w:r>
      <w:r w:rsidRPr="00885A57">
        <w:rPr>
          <w:rFonts w:ascii="Times New Roman" w:eastAsia="標楷體" w:hAnsi="Times New Roman" w:cs="Times New Roman"/>
          <w:szCs w:val="24"/>
        </w:rPr>
        <w:t xml:space="preserve"> programs, with a budget of NT$15.9 billion (Table 1.6), NT$1.7 billion for public transport</w:t>
      </w:r>
      <w:r w:rsidR="00E93DD0" w:rsidRPr="00885A57">
        <w:rPr>
          <w:rFonts w:ascii="Times New Roman" w:eastAsia="標楷體" w:hAnsi="Times New Roman" w:cs="Times New Roman"/>
          <w:szCs w:val="28"/>
        </w:rPr>
        <w:t>ation</w:t>
      </w:r>
      <w:r w:rsidRPr="00885A57">
        <w:rPr>
          <w:rFonts w:ascii="Times New Roman" w:eastAsia="標楷體" w:hAnsi="Times New Roman" w:cs="Times New Roman"/>
          <w:szCs w:val="24"/>
        </w:rPr>
        <w:t xml:space="preserve"> discounts, NT$15.4 billion for home-, community-, and institution-based services, and NT$5.4 billion for other welfare services (Table 1.7).</w:t>
      </w:r>
    </w:p>
    <w:p w14:paraId="1F9EA60D" w14:textId="5BA9FBA2" w:rsidR="00266076" w:rsidRPr="00885A57" w:rsidRDefault="00B27709"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9" w:name="_Ref55902930"/>
      <w:r w:rsidRPr="00885A57">
        <w:rPr>
          <w:rFonts w:ascii="Times New Roman" w:eastAsia="標楷體" w:hAnsi="Times New Roman" w:cs="Times New Roman"/>
          <w:bCs/>
          <w:szCs w:val="28"/>
        </w:rPr>
        <w:t xml:space="preserve">To </w:t>
      </w:r>
      <w:r w:rsidR="00A922AD">
        <w:rPr>
          <w:rFonts w:ascii="Times New Roman" w:eastAsia="標楷體" w:hAnsi="Times New Roman" w:cs="Times New Roman"/>
          <w:bCs/>
          <w:szCs w:val="28"/>
        </w:rPr>
        <w:t xml:space="preserve">publicize </w:t>
      </w:r>
      <w:r w:rsidRPr="00885A57">
        <w:rPr>
          <w:rFonts w:ascii="Times New Roman" w:eastAsia="標楷體" w:hAnsi="Times New Roman" w:cs="Times New Roman"/>
          <w:bCs/>
          <w:szCs w:val="28"/>
        </w:rPr>
        <w:t xml:space="preserve">the provisions of the CRPD </w:t>
      </w:r>
      <w:r w:rsidR="00A922AD">
        <w:rPr>
          <w:rFonts w:ascii="Times New Roman" w:eastAsia="標楷體" w:hAnsi="Times New Roman" w:cs="Times New Roman"/>
          <w:bCs/>
          <w:szCs w:val="28"/>
        </w:rPr>
        <w:t xml:space="preserve">to </w:t>
      </w:r>
      <w:r w:rsidRPr="00885A57">
        <w:rPr>
          <w:rFonts w:ascii="Times New Roman" w:eastAsia="標楷體" w:hAnsi="Times New Roman" w:cs="Times New Roman"/>
          <w:bCs/>
          <w:szCs w:val="28"/>
        </w:rPr>
        <w:t>the public and people with disabilities, the government</w:t>
      </w:r>
      <w:r w:rsidR="00FA08D2">
        <w:rPr>
          <w:rFonts w:ascii="Times New Roman" w:eastAsia="標楷體" w:hAnsi="Times New Roman" w:cs="Times New Roman"/>
          <w:bCs/>
          <w:szCs w:val="28"/>
        </w:rPr>
        <w:t>,</w:t>
      </w:r>
      <w:r w:rsidRPr="00885A57">
        <w:rPr>
          <w:rFonts w:ascii="Times New Roman" w:eastAsia="標楷體" w:hAnsi="Times New Roman" w:cs="Times New Roman"/>
          <w:bCs/>
          <w:szCs w:val="28"/>
        </w:rPr>
        <w:t xml:space="preserve"> in collaboration with people with disabilities and their representative organizations</w:t>
      </w:r>
      <w:r w:rsidR="00FA08D2">
        <w:rPr>
          <w:rFonts w:ascii="Times New Roman" w:eastAsia="標楷體" w:hAnsi="Times New Roman" w:cs="Times New Roman"/>
          <w:bCs/>
          <w:szCs w:val="28"/>
        </w:rPr>
        <w:t>,</w:t>
      </w:r>
      <w:r w:rsidRPr="00885A57">
        <w:rPr>
          <w:rFonts w:ascii="Times New Roman" w:eastAsia="標楷體" w:hAnsi="Times New Roman" w:cs="Times New Roman"/>
          <w:bCs/>
          <w:szCs w:val="28"/>
        </w:rPr>
        <w:t xml:space="preserve"> published easy-</w:t>
      </w:r>
      <w:r w:rsidR="00FA08D2">
        <w:rPr>
          <w:rFonts w:ascii="Times New Roman" w:eastAsia="標楷體" w:hAnsi="Times New Roman" w:cs="Times New Roman"/>
          <w:bCs/>
          <w:szCs w:val="28"/>
        </w:rPr>
        <w:t>to-</w:t>
      </w:r>
      <w:r w:rsidRPr="00885A57">
        <w:rPr>
          <w:rFonts w:ascii="Times New Roman" w:eastAsia="標楷體" w:hAnsi="Times New Roman" w:cs="Times New Roman"/>
          <w:bCs/>
          <w:szCs w:val="28"/>
        </w:rPr>
        <w:t>read and Taiwan Sign Language versions of the CRPD in 2017 and 2018, respectively.</w:t>
      </w:r>
      <w:r w:rsidR="0087242E" w:rsidRPr="00885A57">
        <w:rPr>
          <w:rStyle w:val="ab"/>
          <w:rFonts w:ascii="Times New Roman" w:eastAsia="標楷體" w:hAnsi="Times New Roman" w:cs="Times New Roman"/>
          <w:bCs/>
          <w:szCs w:val="28"/>
        </w:rPr>
        <w:footnoteReference w:id="11"/>
      </w:r>
      <w:r w:rsidRPr="00885A57">
        <w:rPr>
          <w:rFonts w:ascii="Times New Roman" w:eastAsia="標楷體" w:hAnsi="Times New Roman" w:cs="Times New Roman"/>
          <w:bCs/>
          <w:szCs w:val="28"/>
        </w:rPr>
        <w:t xml:space="preserve"> In 2019, the government invited disability studies experts and relevant authorities to amend the </w:t>
      </w:r>
      <w:r w:rsidR="00FA08D2">
        <w:rPr>
          <w:rFonts w:ascii="Times New Roman" w:eastAsia="標楷體" w:hAnsi="Times New Roman" w:cs="Times New Roman"/>
          <w:bCs/>
          <w:szCs w:val="28"/>
        </w:rPr>
        <w:t xml:space="preserve">Chinese </w:t>
      </w:r>
      <w:r w:rsidRPr="00885A57">
        <w:rPr>
          <w:rFonts w:ascii="Times New Roman" w:eastAsia="標楷體" w:hAnsi="Times New Roman" w:cs="Times New Roman"/>
          <w:bCs/>
          <w:szCs w:val="28"/>
        </w:rPr>
        <w:lastRenderedPageBreak/>
        <w:t>version of the CRP</w:t>
      </w:r>
      <w:r w:rsidR="000F3669">
        <w:rPr>
          <w:rFonts w:ascii="Times New Roman" w:eastAsia="標楷體" w:hAnsi="Times New Roman" w:cs="Times New Roman"/>
          <w:bCs/>
          <w:szCs w:val="28"/>
        </w:rPr>
        <w:t>D, after which the revised text</w:t>
      </w:r>
      <w:r w:rsidR="001825A9">
        <w:rPr>
          <w:rFonts w:ascii="Times New Roman" w:eastAsia="標楷體" w:hAnsi="Times New Roman" w:cs="Times New Roman"/>
          <w:bCs/>
          <w:szCs w:val="28"/>
        </w:rPr>
        <w:t xml:space="preserve">, </w:t>
      </w:r>
      <w:r w:rsidRPr="00885A57">
        <w:rPr>
          <w:rFonts w:ascii="Times New Roman" w:eastAsia="標楷體" w:hAnsi="Times New Roman" w:cs="Times New Roman"/>
          <w:bCs/>
          <w:szCs w:val="28"/>
        </w:rPr>
        <w:t xml:space="preserve">attempting to fully </w:t>
      </w:r>
      <w:r w:rsidR="001825A9">
        <w:rPr>
          <w:rFonts w:ascii="Times New Roman" w:eastAsia="標楷體" w:hAnsi="Times New Roman" w:cs="Times New Roman"/>
          <w:bCs/>
          <w:szCs w:val="28"/>
        </w:rPr>
        <w:t xml:space="preserve">convey the depth of </w:t>
      </w:r>
      <w:r w:rsidRPr="00885A57">
        <w:rPr>
          <w:rFonts w:ascii="Times New Roman" w:eastAsia="標楷體" w:hAnsi="Times New Roman" w:cs="Times New Roman"/>
          <w:bCs/>
          <w:szCs w:val="28"/>
        </w:rPr>
        <w:t>meaning of the original CRPD text</w:t>
      </w:r>
      <w:r w:rsidR="0087242E" w:rsidRPr="00885A57">
        <w:rPr>
          <w:rStyle w:val="ab"/>
          <w:rFonts w:ascii="Times New Roman" w:eastAsia="標楷體" w:hAnsi="Times New Roman" w:cs="Times New Roman"/>
        </w:rPr>
        <w:footnoteReference w:id="12"/>
      </w:r>
      <w:r w:rsidR="001825A9">
        <w:rPr>
          <w:rFonts w:ascii="Times New Roman" w:eastAsia="標楷體" w:hAnsi="Times New Roman" w:cs="Times New Roman"/>
          <w:bCs/>
          <w:szCs w:val="28"/>
        </w:rPr>
        <w:t xml:space="preserve">, </w:t>
      </w:r>
      <w:r w:rsidRPr="00885A57">
        <w:rPr>
          <w:rFonts w:ascii="Times New Roman" w:eastAsia="標楷體" w:hAnsi="Times New Roman" w:cs="Times New Roman"/>
          <w:bCs/>
          <w:szCs w:val="28"/>
        </w:rPr>
        <w:t>was submitted to the Legislative Yuan in June 2020. Other accessible formats of the CRPD, including Braille books and audiobooks, are expected to be completed in 2021.</w:t>
      </w:r>
      <w:bookmarkEnd w:id="19"/>
    </w:p>
    <w:p w14:paraId="41F20AAF" w14:textId="3FB6D3AE" w:rsidR="002A0BE5" w:rsidRPr="00885A57" w:rsidRDefault="00165346" w:rsidP="001A2139">
      <w:pPr>
        <w:pStyle w:val="10"/>
        <w:spacing w:after="120" w:line="360" w:lineRule="auto"/>
        <w:rPr>
          <w:rFonts w:ascii="Times New Roman" w:hAnsi="Times New Roman"/>
        </w:rPr>
      </w:pPr>
      <w:bookmarkStart w:id="20" w:name="_Toc73108674"/>
      <w:r w:rsidRPr="00885A57">
        <w:rPr>
          <w:rFonts w:ascii="Times New Roman" w:hAnsi="Times New Roman"/>
        </w:rPr>
        <w:t>Article 5</w:t>
      </w:r>
      <w:bookmarkStart w:id="21" w:name="_Toc55900566"/>
      <w:r w:rsidR="00B645D5" w:rsidRPr="00885A57">
        <w:rPr>
          <w:rFonts w:ascii="Times New Roman" w:hAnsi="Times New Roman"/>
        </w:rPr>
        <w:t xml:space="preserve">: </w:t>
      </w:r>
      <w:r w:rsidRPr="00885A57">
        <w:rPr>
          <w:rFonts w:ascii="Times New Roman" w:hAnsi="Times New Roman"/>
        </w:rPr>
        <w:t>Equality and nondiscrimination</w:t>
      </w:r>
      <w:bookmarkEnd w:id="20"/>
      <w:r w:rsidR="00D6368C" w:rsidRPr="00885A57">
        <w:rPr>
          <w:rFonts w:ascii="Times New Roman" w:hAnsi="Times New Roman"/>
        </w:rPr>
        <w:tab/>
      </w:r>
      <w:r w:rsidR="00D6368C" w:rsidRPr="00885A57">
        <w:rPr>
          <w:rFonts w:ascii="Times New Roman" w:hAnsi="Times New Roman"/>
        </w:rPr>
        <w:tab/>
      </w:r>
      <w:r w:rsidR="00D6368C" w:rsidRPr="00885A57">
        <w:rPr>
          <w:rFonts w:ascii="Times New Roman" w:hAnsi="Times New Roman"/>
        </w:rPr>
        <w:tab/>
      </w:r>
      <w:r w:rsidR="00D6368C" w:rsidRPr="00885A57">
        <w:rPr>
          <w:rFonts w:ascii="Times New Roman" w:hAnsi="Times New Roman"/>
        </w:rPr>
        <w:tab/>
      </w:r>
      <w:r w:rsidR="00D6368C" w:rsidRPr="00885A57">
        <w:rPr>
          <w:rFonts w:ascii="Times New Roman" w:hAnsi="Times New Roman"/>
        </w:rPr>
        <w:tab/>
      </w:r>
      <w:r w:rsidR="00D6368C" w:rsidRPr="00885A57">
        <w:rPr>
          <w:rFonts w:ascii="Times New Roman" w:hAnsi="Times New Roman"/>
        </w:rPr>
        <w:tab/>
      </w:r>
      <w:r w:rsidR="00D6368C" w:rsidRPr="00885A57">
        <w:rPr>
          <w:rFonts w:ascii="Times New Roman" w:hAnsi="Times New Roman"/>
        </w:rPr>
        <w:tab/>
      </w:r>
      <w:r w:rsidR="00D6368C" w:rsidRPr="00885A57">
        <w:rPr>
          <w:rFonts w:ascii="Times New Roman" w:hAnsi="Times New Roman"/>
        </w:rPr>
        <w:tab/>
      </w:r>
      <w:bookmarkEnd w:id="21"/>
    </w:p>
    <w:p w14:paraId="7D90A72C" w14:textId="689E37EC" w:rsidR="002A0BE5" w:rsidRPr="00885A57" w:rsidRDefault="003F3F40" w:rsidP="001A2139">
      <w:pPr>
        <w:pStyle w:val="a7"/>
        <w:numPr>
          <w:ilvl w:val="0"/>
          <w:numId w:val="12"/>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Legal protection for equality and nondiscrimination</w:t>
      </w:r>
    </w:p>
    <w:p w14:paraId="5635A7E0" w14:textId="3C5284CD" w:rsidR="00BF0D7F" w:rsidRPr="00885A57" w:rsidRDefault="003F3F40" w:rsidP="00AC1256">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22" w:name="_Ref33621047"/>
      <w:r w:rsidRPr="00885A57">
        <w:rPr>
          <w:rFonts w:ascii="Times New Roman" w:eastAsia="標楷體" w:hAnsi="Times New Roman" w:cs="Times New Roman"/>
        </w:rPr>
        <w:t xml:space="preserve">Article 7 of the </w:t>
      </w:r>
      <w:r w:rsidRPr="00F370E0">
        <w:rPr>
          <w:rFonts w:ascii="Times New Roman" w:eastAsia="標楷體" w:hAnsi="Times New Roman" w:cs="Times New Roman"/>
          <w:iCs/>
        </w:rPr>
        <w:t xml:space="preserve">Constitution </w:t>
      </w:r>
      <w:r w:rsidRPr="00885A57">
        <w:rPr>
          <w:rFonts w:ascii="Times New Roman" w:eastAsia="標楷體" w:hAnsi="Times New Roman" w:cs="Times New Roman"/>
        </w:rPr>
        <w:t xml:space="preserve">states that </w:t>
      </w:r>
      <w:r w:rsidR="001825A9">
        <w:rPr>
          <w:rFonts w:ascii="Times New Roman" w:eastAsia="標楷體" w:hAnsi="Times New Roman" w:cs="Times New Roman"/>
        </w:rPr>
        <w:t>a</w:t>
      </w:r>
      <w:r w:rsidR="00B32B69">
        <w:rPr>
          <w:rFonts w:ascii="Times New Roman" w:eastAsia="標楷體" w:hAnsi="Times New Roman" w:cs="Times New Roman"/>
        </w:rPr>
        <w:t xml:space="preserve">ll citizens of  </w:t>
      </w:r>
      <w:r w:rsidR="008F1D78">
        <w:rPr>
          <w:rFonts w:ascii="Times New Roman" w:eastAsia="標楷體" w:hAnsi="Times New Roman" w:cs="Times New Roman"/>
        </w:rPr>
        <w:t>Taiwan</w:t>
      </w:r>
      <w:r w:rsidRPr="00885A57">
        <w:rPr>
          <w:rFonts w:ascii="Times New Roman" w:eastAsia="標楷體" w:hAnsi="Times New Roman" w:cs="Times New Roman"/>
        </w:rPr>
        <w:t xml:space="preserve">, irrespective of sex, religion, race, class, or party affiliation, shall be equal before the law; Article 159 specifies that </w:t>
      </w:r>
      <w:r w:rsidR="001825A9">
        <w:rPr>
          <w:rFonts w:ascii="Times New Roman" w:eastAsia="標楷體" w:hAnsi="Times New Roman" w:cs="Times New Roman"/>
        </w:rPr>
        <w:t>a</w:t>
      </w:r>
      <w:r w:rsidRPr="00885A57">
        <w:rPr>
          <w:rFonts w:ascii="Times New Roman" w:eastAsia="標楷體" w:hAnsi="Times New Roman" w:cs="Times New Roman"/>
        </w:rPr>
        <w:t xml:space="preserve">ll citizens shall have equal opportunity to receive an education. Similarly, Article 184 of the </w:t>
      </w:r>
      <w:r w:rsidRPr="002153DE">
        <w:rPr>
          <w:rFonts w:ascii="Times New Roman" w:eastAsia="標楷體" w:hAnsi="Times New Roman" w:cs="Times New Roman"/>
          <w:iCs/>
        </w:rPr>
        <w:t>Civil Code</w:t>
      </w:r>
      <w:r w:rsidR="00856DFA" w:rsidRPr="002153DE">
        <w:rPr>
          <w:rFonts w:ascii="Times New Roman" w:eastAsia="標楷體" w:hAnsi="Times New Roman" w:cs="Times New Roman"/>
          <w:iCs/>
        </w:rPr>
        <w:t xml:space="preserve"> </w:t>
      </w:r>
      <w:r w:rsidRPr="00885A57">
        <w:rPr>
          <w:rFonts w:ascii="Times New Roman" w:eastAsia="標楷體" w:hAnsi="Times New Roman" w:cs="Times New Roman"/>
        </w:rPr>
        <w:t xml:space="preserve">provides that a person who, intentionally or negligently, has wrongfully damaged the rights of another is bound to compensate him for any injury arising therefrom. Article 5 of the </w:t>
      </w:r>
      <w:r w:rsidRPr="002153DE">
        <w:rPr>
          <w:rFonts w:ascii="Times New Roman" w:eastAsia="標楷體" w:hAnsi="Times New Roman" w:cs="Times New Roman"/>
          <w:iCs/>
        </w:rPr>
        <w:t>Employment Service Act</w:t>
      </w:r>
      <w:r w:rsidRPr="00885A57">
        <w:rPr>
          <w:rFonts w:ascii="Times New Roman" w:eastAsia="標楷體" w:hAnsi="Times New Roman" w:cs="Times New Roman"/>
        </w:rPr>
        <w:t xml:space="preserve"> specifies that an employer is prohibited from discriminating against any job applicant or employee on the basis of disability and anyone who violates this article shall be fined </w:t>
      </w:r>
      <w:r w:rsidR="002153DE">
        <w:rPr>
          <w:rFonts w:ascii="Times New Roman" w:eastAsia="標楷體" w:hAnsi="Times New Roman" w:cs="Times New Roman"/>
        </w:rPr>
        <w:t xml:space="preserve">between </w:t>
      </w:r>
      <w:r w:rsidRPr="00885A57">
        <w:rPr>
          <w:rFonts w:ascii="Times New Roman" w:eastAsia="標楷體" w:hAnsi="Times New Roman" w:cs="Times New Roman"/>
        </w:rPr>
        <w:t xml:space="preserve">NT$300,000 and NT$1,500,000. Regarding measures adopted by the government to provide equality of opportunity and achieve equality of outcomes for women and children with disabilities, who are prone to </w:t>
      </w:r>
      <w:r w:rsidRPr="002C12A5">
        <w:rPr>
          <w:rFonts w:ascii="Times New Roman" w:eastAsia="標楷體" w:hAnsi="Times New Roman" w:cs="Times New Roman"/>
        </w:rPr>
        <w:t>multiple forms of discrimination and intersectional discrimination</w:t>
      </w:r>
      <w:r w:rsidRPr="00885A57">
        <w:rPr>
          <w:rFonts w:ascii="Times New Roman" w:eastAsia="標楷體" w:hAnsi="Times New Roman" w:cs="Times New Roman"/>
        </w:rPr>
        <w:t>, please refer to Articles 6 and 7.</w:t>
      </w:r>
      <w:r w:rsidRPr="00885A57">
        <w:rPr>
          <w:rStyle w:val="ab"/>
          <w:rFonts w:ascii="Times New Roman" w:eastAsia="標楷體" w:hAnsi="Times New Roman" w:cs="Times New Roman"/>
        </w:rPr>
        <w:footnoteReference w:id="13"/>
      </w:r>
      <w:r w:rsidR="00A30D83" w:rsidRPr="00885A57">
        <w:rPr>
          <w:rFonts w:ascii="Times New Roman" w:eastAsia="標楷體" w:hAnsi="Times New Roman" w:cs="Times New Roman"/>
        </w:rPr>
        <w:t xml:space="preserve"> </w:t>
      </w:r>
      <w:bookmarkEnd w:id="22"/>
    </w:p>
    <w:p w14:paraId="43563821" w14:textId="1A9075E5" w:rsidR="00ED044B" w:rsidRPr="00885A57" w:rsidRDefault="003F3F40" w:rsidP="00AC1256">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23" w:name="_Ref55903008"/>
      <w:r w:rsidRPr="00885A57">
        <w:rPr>
          <w:rFonts w:ascii="Times New Roman" w:eastAsia="標楷體" w:hAnsi="Times New Roman" w:cs="Times New Roman"/>
        </w:rPr>
        <w:t xml:space="preserve">The PDRPA stipulates that the dignity and legal rights and interests of people </w:t>
      </w:r>
      <w:r w:rsidRPr="00885A57">
        <w:rPr>
          <w:rFonts w:ascii="Times New Roman" w:eastAsia="標楷體" w:hAnsi="Times New Roman" w:cs="Times New Roman"/>
        </w:rPr>
        <w:lastRenderedPageBreak/>
        <w:t xml:space="preserve">with disabilities shall be respected and guaranteed. </w:t>
      </w:r>
      <w:r w:rsidR="002153DE">
        <w:rPr>
          <w:rFonts w:ascii="Times New Roman" w:eastAsia="標楷體" w:hAnsi="Times New Roman" w:cs="Times New Roman"/>
        </w:rPr>
        <w:t xml:space="preserve">Such persons </w:t>
      </w:r>
      <w:r w:rsidRPr="00885A57">
        <w:rPr>
          <w:rFonts w:ascii="Times New Roman" w:eastAsia="標楷體" w:hAnsi="Times New Roman" w:cs="Times New Roman"/>
        </w:rPr>
        <w:t xml:space="preserve">shall not be discriminated </w:t>
      </w:r>
      <w:r w:rsidR="002153DE">
        <w:rPr>
          <w:rFonts w:ascii="Times New Roman" w:eastAsia="標楷體" w:hAnsi="Times New Roman" w:cs="Times New Roman"/>
        </w:rPr>
        <w:t xml:space="preserve">against </w:t>
      </w:r>
      <w:r w:rsidRPr="00885A57">
        <w:rPr>
          <w:rFonts w:ascii="Times New Roman" w:eastAsia="標楷體" w:hAnsi="Times New Roman" w:cs="Times New Roman"/>
        </w:rPr>
        <w:t xml:space="preserve">and anyone who violates the regulations is subject to a fine. Article 82 of the PDRPA assigns local governments the responsibility for quelling community opposition </w:t>
      </w:r>
      <w:r w:rsidR="00500F3A">
        <w:rPr>
          <w:rFonts w:ascii="Times New Roman" w:eastAsia="標楷體" w:hAnsi="Times New Roman" w:cs="Times New Roman"/>
        </w:rPr>
        <w:t xml:space="preserve">to </w:t>
      </w:r>
      <w:r w:rsidRPr="00885A57">
        <w:rPr>
          <w:rFonts w:ascii="Times New Roman" w:eastAsia="標楷體" w:hAnsi="Times New Roman" w:cs="Times New Roman"/>
        </w:rPr>
        <w:t xml:space="preserve">welfare care facilities/institutions when they provide residence arrangement service for people with disabilities in a community. Between 2015 and 2019, four cases related to community opposition </w:t>
      </w:r>
      <w:r w:rsidR="00500F3A">
        <w:rPr>
          <w:rFonts w:ascii="Times New Roman" w:eastAsia="標楷體" w:hAnsi="Times New Roman" w:cs="Times New Roman"/>
        </w:rPr>
        <w:t xml:space="preserve">to </w:t>
      </w:r>
      <w:r w:rsidRPr="00885A57">
        <w:rPr>
          <w:rFonts w:ascii="Times New Roman" w:eastAsia="標楷體" w:hAnsi="Times New Roman" w:cs="Times New Roman"/>
        </w:rPr>
        <w:t xml:space="preserve">the establishment of welfare care facilities/institutions for people with disabilities were reported, which were resolved </w:t>
      </w:r>
      <w:r w:rsidR="008F5AE4">
        <w:rPr>
          <w:rFonts w:ascii="Times New Roman" w:eastAsia="標楷體" w:hAnsi="Times New Roman" w:cs="Times New Roman"/>
        </w:rPr>
        <w:t>with</w:t>
      </w:r>
      <w:r w:rsidR="008F5AE4" w:rsidRPr="00885A57">
        <w:rPr>
          <w:rFonts w:ascii="Times New Roman" w:eastAsia="標楷體" w:hAnsi="Times New Roman" w:cs="Times New Roman"/>
        </w:rPr>
        <w:t xml:space="preserve"> </w:t>
      </w:r>
      <w:r w:rsidRPr="00885A57">
        <w:rPr>
          <w:rFonts w:ascii="Times New Roman" w:eastAsia="標楷體" w:hAnsi="Times New Roman" w:cs="Times New Roman"/>
        </w:rPr>
        <w:t>the aid of local governments; the</w:t>
      </w:r>
      <w:r w:rsidR="00284978">
        <w:rPr>
          <w:rFonts w:ascii="Times New Roman" w:eastAsia="標楷體" w:hAnsi="Times New Roman" w:cs="Times New Roman"/>
        </w:rPr>
        <w:t>se</w:t>
      </w:r>
      <w:r w:rsidRPr="00885A57">
        <w:rPr>
          <w:rFonts w:ascii="Times New Roman" w:eastAsia="標楷體" w:hAnsi="Times New Roman" w:cs="Times New Roman"/>
        </w:rPr>
        <w:t xml:space="preserve"> governments also promoted and enhanced public understanding of people with disabilities and their right to live on an equal basis with others.</w:t>
      </w:r>
      <w:bookmarkEnd w:id="23"/>
    </w:p>
    <w:p w14:paraId="61064240" w14:textId="354BC5BD" w:rsidR="00614CD7" w:rsidRPr="00885A57" w:rsidRDefault="003F3F40" w:rsidP="00AC1256">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Gender Equality Committee of the Executive Yuan, </w:t>
      </w:r>
      <w:r w:rsidR="00284978">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MOI, </w:t>
      </w:r>
      <w:r w:rsidR="00284978">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Ministry of Education (MOE), </w:t>
      </w:r>
      <w:r w:rsidR="00284978">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Ministry of Labor (MOL), </w:t>
      </w:r>
      <w:r w:rsidR="00284978">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MOHW, </w:t>
      </w:r>
      <w:r w:rsidR="00284978">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Council of Indigenous Peoples, and </w:t>
      </w:r>
      <w:r w:rsidR="00284978">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Ministry of Justice (MOJ) have handled matters related to violations against antidiscrimination or equality protection rules under their jurisdiction. </w:t>
      </w:r>
      <w:r w:rsidR="00284978">
        <w:rPr>
          <w:rFonts w:ascii="Times New Roman" w:eastAsia="標楷體" w:hAnsi="Times New Roman" w:cs="Times New Roman"/>
          <w:szCs w:val="24"/>
        </w:rPr>
        <w:t xml:space="preserve">To improve </w:t>
      </w:r>
      <w:r w:rsidRPr="00885A57">
        <w:rPr>
          <w:rFonts w:ascii="Times New Roman" w:eastAsia="標楷體" w:hAnsi="Times New Roman" w:cs="Times New Roman"/>
          <w:szCs w:val="24"/>
        </w:rPr>
        <w:t xml:space="preserve">antidiscrimination legal protection in Taiwan, the MOJ commissioned </w:t>
      </w:r>
      <w:r w:rsidR="00284978">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research </w:t>
      </w:r>
      <w:r w:rsidR="00284978">
        <w:rPr>
          <w:rFonts w:ascii="Times New Roman" w:eastAsia="標楷體" w:hAnsi="Times New Roman" w:cs="Times New Roman"/>
          <w:szCs w:val="24"/>
        </w:rPr>
        <w:t xml:space="preserve">paper </w:t>
      </w:r>
      <w:r w:rsidRPr="00F370E0">
        <w:rPr>
          <w:rFonts w:ascii="Times New Roman" w:eastAsia="標楷體" w:hAnsi="Times New Roman" w:cs="Times New Roman"/>
          <w:i/>
          <w:szCs w:val="24"/>
        </w:rPr>
        <w:t xml:space="preserve">Whether Taiwan </w:t>
      </w:r>
      <w:r w:rsidR="008F5AE4">
        <w:rPr>
          <w:rFonts w:ascii="Times New Roman" w:eastAsia="標楷體" w:hAnsi="Times New Roman" w:cs="Times New Roman"/>
          <w:i/>
          <w:szCs w:val="24"/>
        </w:rPr>
        <w:t>S</w:t>
      </w:r>
      <w:r w:rsidR="008F5AE4" w:rsidRPr="00F370E0">
        <w:rPr>
          <w:rFonts w:ascii="Times New Roman" w:eastAsia="標楷體" w:hAnsi="Times New Roman" w:cs="Times New Roman"/>
          <w:i/>
          <w:szCs w:val="24"/>
        </w:rPr>
        <w:t xml:space="preserve">hould </w:t>
      </w:r>
      <w:r w:rsidR="008F5AE4">
        <w:rPr>
          <w:rFonts w:ascii="Times New Roman" w:eastAsia="標楷體" w:hAnsi="Times New Roman" w:cs="Times New Roman"/>
          <w:i/>
          <w:szCs w:val="24"/>
        </w:rPr>
        <w:t>E</w:t>
      </w:r>
      <w:r w:rsidR="008F5AE4" w:rsidRPr="00F370E0">
        <w:rPr>
          <w:rFonts w:ascii="Times New Roman" w:eastAsia="標楷體" w:hAnsi="Times New Roman" w:cs="Times New Roman"/>
          <w:i/>
          <w:szCs w:val="24"/>
        </w:rPr>
        <w:t xml:space="preserve">nact </w:t>
      </w:r>
      <w:r w:rsidRPr="00F370E0">
        <w:rPr>
          <w:rFonts w:ascii="Times New Roman" w:eastAsia="標楷體" w:hAnsi="Times New Roman" w:cs="Times New Roman"/>
          <w:i/>
          <w:szCs w:val="24"/>
        </w:rPr>
        <w:t xml:space="preserve">a </w:t>
      </w:r>
      <w:r w:rsidR="008F5AE4">
        <w:rPr>
          <w:rFonts w:ascii="Times New Roman" w:eastAsia="標楷體" w:hAnsi="Times New Roman" w:cs="Times New Roman"/>
          <w:i/>
          <w:szCs w:val="24"/>
        </w:rPr>
        <w:t>C</w:t>
      </w:r>
      <w:r w:rsidR="008F5AE4" w:rsidRPr="00F370E0">
        <w:rPr>
          <w:rFonts w:ascii="Times New Roman" w:eastAsia="標楷體" w:hAnsi="Times New Roman" w:cs="Times New Roman"/>
          <w:i/>
          <w:szCs w:val="24"/>
        </w:rPr>
        <w:t xml:space="preserve">omprehensive </w:t>
      </w:r>
      <w:r w:rsidR="008F5AE4">
        <w:rPr>
          <w:rFonts w:ascii="Times New Roman" w:eastAsia="標楷體" w:hAnsi="Times New Roman" w:cs="Times New Roman"/>
          <w:i/>
          <w:szCs w:val="24"/>
        </w:rPr>
        <w:t>A</w:t>
      </w:r>
      <w:r w:rsidR="008F5AE4" w:rsidRPr="00F370E0">
        <w:rPr>
          <w:rFonts w:ascii="Times New Roman" w:eastAsia="標楷體" w:hAnsi="Times New Roman" w:cs="Times New Roman"/>
          <w:i/>
          <w:szCs w:val="24"/>
        </w:rPr>
        <w:t xml:space="preserve">ntidiscrimination </w:t>
      </w:r>
      <w:r w:rsidR="008F5AE4">
        <w:rPr>
          <w:rFonts w:ascii="Times New Roman" w:eastAsia="標楷體" w:hAnsi="Times New Roman" w:cs="Times New Roman"/>
          <w:i/>
          <w:szCs w:val="24"/>
        </w:rPr>
        <w:t>L</w:t>
      </w:r>
      <w:r w:rsidR="008F5AE4" w:rsidRPr="00F370E0">
        <w:rPr>
          <w:rFonts w:ascii="Times New Roman" w:eastAsia="標楷體" w:hAnsi="Times New Roman" w:cs="Times New Roman"/>
          <w:i/>
          <w:szCs w:val="24"/>
        </w:rPr>
        <w:t xml:space="preserve">aw </w:t>
      </w:r>
      <w:r w:rsidRPr="00F370E0">
        <w:rPr>
          <w:rFonts w:ascii="Times New Roman" w:eastAsia="標楷體" w:hAnsi="Times New Roman" w:cs="Times New Roman"/>
          <w:i/>
          <w:szCs w:val="24"/>
        </w:rPr>
        <w:t xml:space="preserve">and </w:t>
      </w:r>
      <w:r w:rsidR="008F5AE4">
        <w:rPr>
          <w:rFonts w:ascii="Times New Roman" w:eastAsia="標楷體" w:hAnsi="Times New Roman" w:cs="Times New Roman"/>
          <w:i/>
          <w:szCs w:val="24"/>
        </w:rPr>
        <w:t>R</w:t>
      </w:r>
      <w:r w:rsidR="008F5AE4" w:rsidRPr="00F370E0">
        <w:rPr>
          <w:rFonts w:ascii="Times New Roman" w:eastAsia="標楷體" w:hAnsi="Times New Roman" w:cs="Times New Roman"/>
          <w:i/>
          <w:szCs w:val="24"/>
        </w:rPr>
        <w:t xml:space="preserve">ecommendations </w:t>
      </w:r>
      <w:r w:rsidRPr="00F370E0">
        <w:rPr>
          <w:rFonts w:ascii="Times New Roman" w:eastAsia="標楷體" w:hAnsi="Times New Roman" w:cs="Times New Roman"/>
          <w:i/>
          <w:szCs w:val="24"/>
        </w:rPr>
        <w:t xml:space="preserve">for </w:t>
      </w:r>
      <w:r w:rsidR="008F5AE4">
        <w:rPr>
          <w:rFonts w:ascii="Times New Roman" w:eastAsia="標楷體" w:hAnsi="Times New Roman" w:cs="Times New Roman"/>
          <w:i/>
          <w:szCs w:val="24"/>
        </w:rPr>
        <w:t>L</w:t>
      </w:r>
      <w:r w:rsidRPr="00F370E0">
        <w:rPr>
          <w:rFonts w:ascii="Times New Roman" w:eastAsia="標楷體" w:hAnsi="Times New Roman" w:cs="Times New Roman"/>
          <w:i/>
          <w:szCs w:val="24"/>
        </w:rPr>
        <w:t>egislation</w:t>
      </w:r>
      <w:r w:rsidRPr="00885A57">
        <w:rPr>
          <w:rFonts w:ascii="Times New Roman" w:eastAsia="標楷體" w:hAnsi="Times New Roman" w:cs="Times New Roman"/>
          <w:szCs w:val="24"/>
        </w:rPr>
        <w:t xml:space="preserve"> in June 2019. The research advanced a draft of the </w:t>
      </w:r>
      <w:r w:rsidRPr="002153DE">
        <w:rPr>
          <w:rFonts w:ascii="Times New Roman" w:eastAsia="標楷體" w:hAnsi="Times New Roman" w:cs="Times New Roman"/>
          <w:iCs/>
          <w:szCs w:val="24"/>
        </w:rPr>
        <w:t>Equality Act</w:t>
      </w:r>
      <w:r w:rsidRPr="00885A57">
        <w:rPr>
          <w:rFonts w:ascii="Times New Roman" w:eastAsia="標楷體" w:hAnsi="Times New Roman" w:cs="Times New Roman"/>
          <w:szCs w:val="24"/>
        </w:rPr>
        <w:t>, which provides specific definitions of direct and indirect discrimination and stipulated related remedial procedures, including complaints, objections, applications for review, and appeals.</w:t>
      </w:r>
    </w:p>
    <w:p w14:paraId="5205BE80" w14:textId="2B60E4FB" w:rsidR="005B5D61" w:rsidRPr="008F5AE4" w:rsidRDefault="00AD79AD" w:rsidP="00AC1256">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24" w:name="_Ref55901697"/>
      <w:r w:rsidRPr="008F5AE4">
        <w:rPr>
          <w:rFonts w:ascii="Times New Roman" w:eastAsia="標楷體" w:hAnsi="Times New Roman" w:cs="Times New Roman"/>
          <w:szCs w:val="24"/>
        </w:rPr>
        <w:t xml:space="preserve">The government has been reviewing and revising legislation and administrative measures </w:t>
      </w:r>
      <w:r w:rsidR="008F5AE4" w:rsidRPr="008F5AE4">
        <w:rPr>
          <w:rFonts w:ascii="Times New Roman" w:eastAsia="標楷體" w:hAnsi="Times New Roman" w:cs="Times New Roman"/>
          <w:szCs w:val="24"/>
        </w:rPr>
        <w:t xml:space="preserve">not in compliance </w:t>
      </w:r>
      <w:r w:rsidRPr="008F5AE4">
        <w:rPr>
          <w:rFonts w:ascii="Times New Roman" w:eastAsia="標楷體" w:hAnsi="Times New Roman" w:cs="Times New Roman"/>
          <w:szCs w:val="24"/>
        </w:rPr>
        <w:t xml:space="preserve">with the CRPD since December 2016 to ensure the </w:t>
      </w:r>
      <w:r w:rsidRPr="008F5AE4">
        <w:rPr>
          <w:rFonts w:ascii="Times New Roman" w:eastAsia="標楷體" w:hAnsi="Times New Roman" w:cs="Times New Roman"/>
          <w:szCs w:val="24"/>
        </w:rPr>
        <w:lastRenderedPageBreak/>
        <w:t xml:space="preserve">elimination of discriminatory terms toward people with disabilities and substantial </w:t>
      </w:r>
      <w:r w:rsidR="008F5AE4" w:rsidRPr="008F5AE4">
        <w:rPr>
          <w:rFonts w:ascii="Times New Roman" w:eastAsia="標楷體" w:hAnsi="Times New Roman" w:cs="Times New Roman"/>
          <w:szCs w:val="24"/>
        </w:rPr>
        <w:t xml:space="preserve">effects </w:t>
      </w:r>
      <w:r w:rsidRPr="008F5AE4">
        <w:rPr>
          <w:rFonts w:ascii="Times New Roman" w:eastAsia="標楷體" w:hAnsi="Times New Roman" w:cs="Times New Roman"/>
          <w:szCs w:val="24"/>
        </w:rPr>
        <w:t xml:space="preserve">on the rights of people with disabilities. As of September 2020, 423 </w:t>
      </w:r>
      <w:r w:rsidR="003E6F92" w:rsidRPr="008F5AE4">
        <w:rPr>
          <w:rFonts w:ascii="Times New Roman" w:eastAsia="標楷體" w:hAnsi="Times New Roman" w:cs="Times New Roman"/>
          <w:szCs w:val="24"/>
        </w:rPr>
        <w:t xml:space="preserve">pieces of </w:t>
      </w:r>
      <w:r w:rsidRPr="008F5AE4">
        <w:rPr>
          <w:rFonts w:ascii="Times New Roman" w:eastAsia="標楷體" w:hAnsi="Times New Roman" w:cs="Times New Roman"/>
          <w:szCs w:val="24"/>
        </w:rPr>
        <w:t>legislation and administrative measures had been amended (92</w:t>
      </w:r>
      <w:r w:rsidR="00787A2A" w:rsidRPr="008F5AE4">
        <w:rPr>
          <w:rFonts w:ascii="Times New Roman" w:eastAsia="標楷體" w:hAnsi="Times New Roman" w:cs="Times New Roman"/>
          <w:szCs w:val="24"/>
        </w:rPr>
        <w:t xml:space="preserve"> percent</w:t>
      </w:r>
      <w:r w:rsidRPr="008F5AE4">
        <w:rPr>
          <w:rFonts w:ascii="Times New Roman" w:eastAsia="標楷體" w:hAnsi="Times New Roman" w:cs="Times New Roman"/>
          <w:szCs w:val="24"/>
        </w:rPr>
        <w:t>), and 39 amendments (8</w:t>
      </w:r>
      <w:r w:rsidR="00787A2A" w:rsidRPr="008F5AE4">
        <w:rPr>
          <w:rFonts w:ascii="Times New Roman" w:eastAsia="標楷體" w:hAnsi="Times New Roman" w:cs="Times New Roman"/>
          <w:szCs w:val="24"/>
        </w:rPr>
        <w:t xml:space="preserve"> percent</w:t>
      </w:r>
      <w:r w:rsidRPr="008F5AE4">
        <w:rPr>
          <w:rFonts w:ascii="Times New Roman" w:eastAsia="標楷體" w:hAnsi="Times New Roman" w:cs="Times New Roman"/>
          <w:szCs w:val="24"/>
        </w:rPr>
        <w:t xml:space="preserve">) were under review or </w:t>
      </w:r>
      <w:r w:rsidR="003E6F92" w:rsidRPr="008F5AE4">
        <w:rPr>
          <w:rFonts w:ascii="Times New Roman" w:eastAsia="標楷體" w:hAnsi="Times New Roman" w:cs="Times New Roman"/>
          <w:szCs w:val="24"/>
        </w:rPr>
        <w:t xml:space="preserve">had been </w:t>
      </w:r>
      <w:r w:rsidRPr="008F5AE4">
        <w:rPr>
          <w:rFonts w:ascii="Times New Roman" w:eastAsia="標楷體" w:hAnsi="Times New Roman" w:cs="Times New Roman"/>
          <w:szCs w:val="24"/>
        </w:rPr>
        <w:t xml:space="preserve">submitted to the Legislative Yuan for approval. </w:t>
      </w:r>
      <w:r w:rsidR="003E6F92" w:rsidRPr="008F5AE4">
        <w:rPr>
          <w:rFonts w:ascii="Times New Roman" w:eastAsia="標楷體" w:hAnsi="Times New Roman" w:cs="Times New Roman"/>
          <w:szCs w:val="24"/>
        </w:rPr>
        <w:t xml:space="preserve">Other measures concerning </w:t>
      </w:r>
      <w:r w:rsidRPr="008F5AE4">
        <w:rPr>
          <w:rFonts w:ascii="Times New Roman" w:eastAsia="標楷體" w:hAnsi="Times New Roman" w:cs="Times New Roman"/>
          <w:szCs w:val="24"/>
        </w:rPr>
        <w:t xml:space="preserve">amendments that had yet to be </w:t>
      </w:r>
      <w:r w:rsidR="003E6F92" w:rsidRPr="008F5AE4">
        <w:rPr>
          <w:rFonts w:ascii="Times New Roman" w:eastAsia="標楷體" w:hAnsi="Times New Roman" w:cs="Times New Roman"/>
          <w:szCs w:val="24"/>
        </w:rPr>
        <w:t xml:space="preserve">completed </w:t>
      </w:r>
      <w:r w:rsidRPr="008F5AE4">
        <w:rPr>
          <w:rFonts w:ascii="Times New Roman" w:eastAsia="標楷體" w:hAnsi="Times New Roman" w:cs="Times New Roman"/>
          <w:szCs w:val="24"/>
        </w:rPr>
        <w:t xml:space="preserve">by December 2019 were </w:t>
      </w:r>
      <w:r w:rsidR="003E6F92" w:rsidRPr="008F5AE4">
        <w:rPr>
          <w:rFonts w:ascii="Times New Roman" w:eastAsia="標楷體" w:hAnsi="Times New Roman" w:cs="Times New Roman"/>
          <w:szCs w:val="24"/>
        </w:rPr>
        <w:t xml:space="preserve">also </w:t>
      </w:r>
      <w:r w:rsidRPr="008F5AE4">
        <w:rPr>
          <w:rFonts w:ascii="Times New Roman" w:eastAsia="標楷體" w:hAnsi="Times New Roman" w:cs="Times New Roman"/>
          <w:szCs w:val="24"/>
        </w:rPr>
        <w:t>proposed and made public.</w:t>
      </w:r>
      <w:bookmarkEnd w:id="24"/>
      <w:r w:rsidRPr="008F5AE4">
        <w:rPr>
          <w:rStyle w:val="ab"/>
          <w:rFonts w:ascii="Times New Roman" w:eastAsia="標楷體" w:hAnsi="Times New Roman" w:cs="Times New Roman"/>
        </w:rPr>
        <w:footnoteReference w:id="14"/>
      </w:r>
    </w:p>
    <w:p w14:paraId="00F71E3A" w14:textId="58DC62FE" w:rsidR="006B33BB" w:rsidRPr="00885A57" w:rsidRDefault="003E6F92"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Pr>
          <w:rFonts w:ascii="Times New Roman" w:eastAsia="標楷體" w:hAnsi="Times New Roman" w:cs="Times New Roman"/>
          <w:szCs w:val="24"/>
        </w:rPr>
        <w:t xml:space="preserve">From </w:t>
      </w:r>
      <w:r w:rsidR="00AD79AD" w:rsidRPr="00885A57">
        <w:rPr>
          <w:rFonts w:ascii="Times New Roman" w:eastAsia="標楷體" w:hAnsi="Times New Roman" w:cs="Times New Roman"/>
          <w:szCs w:val="24"/>
        </w:rPr>
        <w:t>2016</w:t>
      </w:r>
      <w:r>
        <w:rPr>
          <w:rFonts w:ascii="Times New Roman" w:eastAsia="標楷體" w:hAnsi="Times New Roman" w:cs="Times New Roman"/>
          <w:szCs w:val="24"/>
        </w:rPr>
        <w:t xml:space="preserve"> to </w:t>
      </w:r>
      <w:r w:rsidR="00AD79AD" w:rsidRPr="00885A57">
        <w:rPr>
          <w:rFonts w:ascii="Times New Roman" w:eastAsia="標楷體" w:hAnsi="Times New Roman" w:cs="Times New Roman"/>
          <w:szCs w:val="24"/>
        </w:rPr>
        <w:t>2019, the Control Yuan launched 43 investigations into violations of the rights of people with disabilities, most of which were related to social security (27.9</w:t>
      </w:r>
      <w:r w:rsidR="00787A2A">
        <w:rPr>
          <w:rFonts w:ascii="Times New Roman" w:eastAsia="標楷體" w:hAnsi="Times New Roman" w:cs="Times New Roman"/>
          <w:szCs w:val="24"/>
        </w:rPr>
        <w:t xml:space="preserve"> percent</w:t>
      </w:r>
      <w:r w:rsidR="00AD79AD" w:rsidRPr="00885A57">
        <w:rPr>
          <w:rFonts w:ascii="Times New Roman" w:eastAsia="標楷體" w:hAnsi="Times New Roman" w:cs="Times New Roman"/>
          <w:szCs w:val="24"/>
        </w:rPr>
        <w:t xml:space="preserve">), followed by those associated with </w:t>
      </w:r>
      <w:r>
        <w:rPr>
          <w:rFonts w:ascii="Times New Roman" w:eastAsia="標楷體" w:hAnsi="Times New Roman" w:cs="Times New Roman"/>
          <w:szCs w:val="24"/>
        </w:rPr>
        <w:t xml:space="preserve">the </w:t>
      </w:r>
      <w:r w:rsidR="00AD79AD" w:rsidRPr="00885A57">
        <w:rPr>
          <w:rFonts w:ascii="Times New Roman" w:eastAsia="標楷體" w:hAnsi="Times New Roman" w:cs="Times New Roman"/>
          <w:szCs w:val="24"/>
        </w:rPr>
        <w:t>right to life and health (18.7</w:t>
      </w:r>
      <w:r w:rsidR="00787A2A">
        <w:rPr>
          <w:rFonts w:ascii="Times New Roman" w:eastAsia="標楷體" w:hAnsi="Times New Roman" w:cs="Times New Roman"/>
          <w:szCs w:val="24"/>
        </w:rPr>
        <w:t xml:space="preserve"> percent</w:t>
      </w:r>
      <w:r w:rsidR="00AD79AD" w:rsidRPr="00885A57">
        <w:rPr>
          <w:rFonts w:ascii="Times New Roman" w:eastAsia="標楷體" w:hAnsi="Times New Roman" w:cs="Times New Roman"/>
          <w:szCs w:val="24"/>
        </w:rPr>
        <w:t xml:space="preserve">) and </w:t>
      </w:r>
      <w:r w:rsidR="00BB43AA" w:rsidRPr="00885A57">
        <w:rPr>
          <w:rFonts w:ascii="Times New Roman" w:eastAsia="標楷體" w:hAnsi="Times New Roman" w:cs="Times New Roman"/>
          <w:szCs w:val="24"/>
        </w:rPr>
        <w:t>equality</w:t>
      </w:r>
      <w:r w:rsidR="00AD79AD" w:rsidRPr="00885A57">
        <w:rPr>
          <w:rFonts w:ascii="Times New Roman" w:eastAsia="標楷體" w:hAnsi="Times New Roman" w:cs="Times New Roman"/>
          <w:szCs w:val="24"/>
        </w:rPr>
        <w:t xml:space="preserve"> (16.3</w:t>
      </w:r>
      <w:r w:rsidR="00787A2A">
        <w:rPr>
          <w:rFonts w:ascii="Times New Roman" w:eastAsia="標楷體" w:hAnsi="Times New Roman" w:cs="Times New Roman"/>
          <w:szCs w:val="24"/>
        </w:rPr>
        <w:t xml:space="preserve"> percent</w:t>
      </w:r>
      <w:r w:rsidR="00AD79AD" w:rsidRPr="00885A57">
        <w:rPr>
          <w:rFonts w:ascii="Times New Roman" w:eastAsia="標楷體" w:hAnsi="Times New Roman" w:cs="Times New Roman"/>
          <w:szCs w:val="24"/>
        </w:rPr>
        <w:t xml:space="preserve">) (Table 5.1). </w:t>
      </w:r>
      <w:r>
        <w:rPr>
          <w:rFonts w:ascii="Times New Roman" w:eastAsia="標楷體" w:hAnsi="Times New Roman" w:cs="Times New Roman"/>
          <w:szCs w:val="24"/>
        </w:rPr>
        <w:t>T</w:t>
      </w:r>
      <w:r w:rsidR="00AD79AD" w:rsidRPr="00885A57">
        <w:rPr>
          <w:rFonts w:ascii="Times New Roman" w:eastAsia="標楷體" w:hAnsi="Times New Roman" w:cs="Times New Roman"/>
          <w:szCs w:val="24"/>
        </w:rPr>
        <w:t xml:space="preserve">he Control Yuan proposed corrective measures in 17 </w:t>
      </w:r>
      <w:r>
        <w:rPr>
          <w:rFonts w:ascii="Times New Roman" w:eastAsia="標楷體" w:hAnsi="Times New Roman" w:cs="Times New Roman"/>
          <w:szCs w:val="24"/>
        </w:rPr>
        <w:t xml:space="preserve">of these </w:t>
      </w:r>
      <w:r w:rsidR="00AD79AD" w:rsidRPr="00885A57">
        <w:rPr>
          <w:rFonts w:ascii="Times New Roman" w:eastAsia="標楷體" w:hAnsi="Times New Roman" w:cs="Times New Roman"/>
          <w:szCs w:val="24"/>
        </w:rPr>
        <w:t>investigations (39.5</w:t>
      </w:r>
      <w:r w:rsidR="00787A2A">
        <w:rPr>
          <w:rFonts w:ascii="Times New Roman" w:eastAsia="標楷體" w:hAnsi="Times New Roman" w:cs="Times New Roman"/>
          <w:szCs w:val="24"/>
        </w:rPr>
        <w:t xml:space="preserve"> percent</w:t>
      </w:r>
      <w:r w:rsidR="00AD79AD" w:rsidRPr="00885A57">
        <w:rPr>
          <w:rFonts w:ascii="Times New Roman" w:eastAsia="標楷體" w:hAnsi="Times New Roman" w:cs="Times New Roman"/>
          <w:szCs w:val="24"/>
        </w:rPr>
        <w:t>).</w:t>
      </w:r>
      <w:r w:rsidR="00AD79AD" w:rsidRPr="00885A57">
        <w:rPr>
          <w:rStyle w:val="ab"/>
          <w:rFonts w:ascii="Times New Roman" w:eastAsia="標楷體" w:hAnsi="Times New Roman" w:cs="Times New Roman"/>
        </w:rPr>
        <w:footnoteReference w:id="15"/>
      </w:r>
    </w:p>
    <w:p w14:paraId="4AC76F64" w14:textId="1B50CBA1" w:rsidR="00991769" w:rsidRPr="00885A57" w:rsidRDefault="00AD79AD" w:rsidP="001A2139">
      <w:pPr>
        <w:pStyle w:val="a7"/>
        <w:numPr>
          <w:ilvl w:val="0"/>
          <w:numId w:val="12"/>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Reasonable accommodation in regulations and measures</w:t>
      </w:r>
    </w:p>
    <w:p w14:paraId="599172E5" w14:textId="1755DD5B" w:rsidR="00614CD7" w:rsidRPr="00885A57" w:rsidRDefault="00AD79AD" w:rsidP="00AC1256">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25" w:name="_Ref55903073"/>
      <w:r w:rsidRPr="00885A57">
        <w:rPr>
          <w:rFonts w:ascii="Times New Roman" w:eastAsia="標楷體" w:hAnsi="Times New Roman" w:cs="Times New Roman"/>
          <w:bCs/>
          <w:szCs w:val="24"/>
        </w:rPr>
        <w:t xml:space="preserve">To help personnel </w:t>
      </w:r>
      <w:r w:rsidR="003E6F92">
        <w:rPr>
          <w:rFonts w:ascii="Times New Roman" w:eastAsia="標楷體" w:hAnsi="Times New Roman" w:cs="Times New Roman"/>
          <w:bCs/>
          <w:szCs w:val="24"/>
        </w:rPr>
        <w:t>at</w:t>
      </w:r>
      <w:r w:rsidR="003E6F92" w:rsidRPr="00885A57">
        <w:rPr>
          <w:rFonts w:ascii="Times New Roman" w:eastAsia="標楷體" w:hAnsi="Times New Roman" w:cs="Times New Roman"/>
          <w:bCs/>
          <w:szCs w:val="24"/>
        </w:rPr>
        <w:t xml:space="preserve"> </w:t>
      </w:r>
      <w:r w:rsidRPr="00885A57">
        <w:rPr>
          <w:rFonts w:ascii="Times New Roman" w:eastAsia="標楷體" w:hAnsi="Times New Roman" w:cs="Times New Roman"/>
          <w:bCs/>
          <w:szCs w:val="24"/>
        </w:rPr>
        <w:t xml:space="preserve">government departments </w:t>
      </w:r>
      <w:r w:rsidR="00117444">
        <w:rPr>
          <w:rFonts w:ascii="Times New Roman" w:eastAsia="標楷體" w:hAnsi="Times New Roman" w:cs="Times New Roman"/>
          <w:bCs/>
          <w:szCs w:val="24"/>
        </w:rPr>
        <w:t>at all levels</w:t>
      </w:r>
      <w:r w:rsidRPr="00885A57">
        <w:rPr>
          <w:rFonts w:ascii="Times New Roman" w:eastAsia="標楷體" w:hAnsi="Times New Roman" w:cs="Times New Roman"/>
          <w:bCs/>
          <w:szCs w:val="24"/>
        </w:rPr>
        <w:t xml:space="preserve"> understand that reasonable accommodation is a necessary and appropriate modification needed in a particular case by people with disabilities </w:t>
      </w:r>
      <w:r w:rsidR="003E6F92">
        <w:rPr>
          <w:rFonts w:ascii="Times New Roman" w:eastAsia="標楷體" w:hAnsi="Times New Roman" w:cs="Times New Roman"/>
          <w:bCs/>
          <w:szCs w:val="24"/>
        </w:rPr>
        <w:t>and</w:t>
      </w:r>
      <w:r w:rsidRPr="00885A57">
        <w:rPr>
          <w:rFonts w:ascii="Times New Roman" w:eastAsia="標楷體" w:hAnsi="Times New Roman" w:cs="Times New Roman"/>
          <w:bCs/>
          <w:szCs w:val="24"/>
        </w:rPr>
        <w:t xml:space="preserve"> legitimate conditions, the MOHW hosted four workshops in 2018 with 150 attendees in total. In 2020, the MOHW organized education and training programs for local government </w:t>
      </w:r>
      <w:r w:rsidRPr="00885A57">
        <w:rPr>
          <w:rFonts w:ascii="Times New Roman" w:eastAsia="標楷體" w:hAnsi="Times New Roman" w:cs="Times New Roman"/>
          <w:bCs/>
          <w:szCs w:val="24"/>
        </w:rPr>
        <w:lastRenderedPageBreak/>
        <w:t xml:space="preserve">personnel and developed first-stage guides and teaching materials for reasonable accommodation as a reference for entities </w:t>
      </w:r>
      <w:r w:rsidR="008F5AE4">
        <w:rPr>
          <w:rFonts w:ascii="Times New Roman" w:eastAsia="標楷體" w:hAnsi="Times New Roman" w:cs="Times New Roman"/>
          <w:bCs/>
          <w:szCs w:val="24"/>
        </w:rPr>
        <w:t xml:space="preserve">in </w:t>
      </w:r>
      <w:r w:rsidRPr="00885A57">
        <w:rPr>
          <w:rFonts w:ascii="Times New Roman" w:eastAsia="標楷體" w:hAnsi="Times New Roman" w:cs="Times New Roman"/>
          <w:bCs/>
          <w:szCs w:val="24"/>
        </w:rPr>
        <w:t>all fields</w:t>
      </w:r>
      <w:r w:rsidRPr="00885A57">
        <w:rPr>
          <w:rFonts w:ascii="Times New Roman" w:eastAsia="標楷體" w:hAnsi="Times New Roman" w:cs="Times New Roman"/>
          <w:szCs w:val="24"/>
        </w:rPr>
        <w:t>.</w:t>
      </w:r>
      <w:bookmarkEnd w:id="25"/>
      <w:r w:rsidRPr="00885A57">
        <w:rPr>
          <w:rStyle w:val="ab"/>
          <w:rFonts w:ascii="Times New Roman" w:eastAsia="標楷體" w:hAnsi="Times New Roman" w:cs="Times New Roman"/>
          <w:bCs/>
        </w:rPr>
        <w:footnoteReference w:id="16"/>
      </w:r>
    </w:p>
    <w:p w14:paraId="4283F0D0" w14:textId="7A1A23AC" w:rsidR="007359A6" w:rsidRPr="00885A57" w:rsidRDefault="00AD79AD"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26" w:name="_Ref55903093"/>
      <w:r w:rsidRPr="00885A57">
        <w:rPr>
          <w:rFonts w:ascii="Times New Roman" w:eastAsia="標楷體" w:hAnsi="Times New Roman" w:cs="Times New Roman"/>
          <w:szCs w:val="24"/>
        </w:rPr>
        <w:t xml:space="preserve">Parts of provisions, such as the </w:t>
      </w:r>
      <w:r w:rsidRPr="002153DE">
        <w:rPr>
          <w:rFonts w:ascii="Times New Roman" w:eastAsia="標楷體" w:hAnsi="Times New Roman" w:cs="Times New Roman"/>
          <w:iCs/>
          <w:szCs w:val="24"/>
        </w:rPr>
        <w:t>Educational Fundamental Act</w:t>
      </w:r>
      <w:r w:rsidRPr="000A60B9">
        <w:rPr>
          <w:rFonts w:ascii="Times New Roman" w:eastAsia="標楷體" w:hAnsi="Times New Roman" w:cs="Times New Roman"/>
          <w:iCs/>
          <w:szCs w:val="24"/>
        </w:rPr>
        <w:t xml:space="preserve">, </w:t>
      </w:r>
      <w:r w:rsidR="003E6F92" w:rsidRPr="00903321">
        <w:rPr>
          <w:rFonts w:ascii="Times New Roman" w:eastAsia="標楷體" w:hAnsi="Times New Roman" w:cs="Times New Roman"/>
          <w:iCs/>
          <w:szCs w:val="24"/>
        </w:rPr>
        <w:t xml:space="preserve">the </w:t>
      </w:r>
      <w:r w:rsidRPr="001C09C5">
        <w:rPr>
          <w:rFonts w:ascii="Times New Roman" w:eastAsia="標楷體" w:hAnsi="Times New Roman" w:cs="Times New Roman"/>
          <w:iCs/>
          <w:szCs w:val="24"/>
        </w:rPr>
        <w:t xml:space="preserve">SEA, </w:t>
      </w:r>
      <w:r w:rsidRPr="008F5AE4">
        <w:rPr>
          <w:rFonts w:ascii="Times New Roman" w:eastAsia="標楷體" w:hAnsi="Times New Roman" w:cs="Times New Roman"/>
          <w:iCs/>
          <w:szCs w:val="24"/>
        </w:rPr>
        <w:t xml:space="preserve">Regulations Governing National Examination Rights for </w:t>
      </w:r>
      <w:r w:rsidR="007C333F">
        <w:rPr>
          <w:rFonts w:ascii="Times New Roman" w:eastAsia="標楷體" w:hAnsi="Times New Roman" w:cs="Times New Roman"/>
          <w:iCs/>
          <w:szCs w:val="24"/>
          <w:lang w:val="en-GB"/>
        </w:rPr>
        <w:t>People with Disabilities</w:t>
      </w:r>
      <w:r w:rsidRPr="000A60B9">
        <w:rPr>
          <w:rFonts w:ascii="Times New Roman" w:eastAsia="標楷體" w:hAnsi="Times New Roman" w:cs="Times New Roman"/>
          <w:iCs/>
          <w:szCs w:val="24"/>
        </w:rPr>
        <w:t xml:space="preserve">, and </w:t>
      </w:r>
      <w:r w:rsidRPr="002153DE">
        <w:rPr>
          <w:rFonts w:ascii="Times New Roman" w:eastAsia="標楷體" w:hAnsi="Times New Roman" w:cs="Times New Roman"/>
          <w:iCs/>
          <w:szCs w:val="24"/>
        </w:rPr>
        <w:t xml:space="preserve">Guidelines for </w:t>
      </w:r>
      <w:r w:rsidR="003E6F92">
        <w:rPr>
          <w:rFonts w:ascii="Times New Roman" w:eastAsia="標楷體" w:hAnsi="Times New Roman" w:cs="Times New Roman"/>
          <w:iCs/>
          <w:szCs w:val="24"/>
        </w:rPr>
        <w:t xml:space="preserve">the </w:t>
      </w:r>
      <w:r w:rsidRPr="002153DE">
        <w:rPr>
          <w:rFonts w:ascii="Times New Roman" w:eastAsia="標楷體" w:hAnsi="Times New Roman" w:cs="Times New Roman"/>
          <w:iCs/>
          <w:szCs w:val="24"/>
        </w:rPr>
        <w:t xml:space="preserve">Implementation of and Subsidies for </w:t>
      </w:r>
      <w:r w:rsidR="001759AD" w:rsidRPr="002153DE">
        <w:rPr>
          <w:rFonts w:ascii="Times New Roman" w:eastAsia="標楷體" w:hAnsi="Times New Roman" w:cs="Times New Roman"/>
          <w:iCs/>
          <w:szCs w:val="24"/>
        </w:rPr>
        <w:t>Job Accommodation</w:t>
      </w:r>
      <w:r w:rsidRPr="002153DE">
        <w:rPr>
          <w:rFonts w:ascii="Times New Roman" w:eastAsia="標楷體" w:hAnsi="Times New Roman" w:cs="Times New Roman"/>
          <w:iCs/>
          <w:szCs w:val="24"/>
        </w:rPr>
        <w:t xml:space="preserve"> for People with Disabilities</w:t>
      </w:r>
      <w:r w:rsidRPr="000A60B9">
        <w:rPr>
          <w:rFonts w:ascii="Times New Roman" w:eastAsia="標楷體" w:hAnsi="Times New Roman" w:cs="Times New Roman"/>
          <w:iCs/>
          <w:szCs w:val="24"/>
        </w:rPr>
        <w:t xml:space="preserve">, conform </w:t>
      </w:r>
      <w:r w:rsidR="003E6F92" w:rsidRPr="001C09C5">
        <w:rPr>
          <w:rFonts w:ascii="Times New Roman" w:eastAsia="標楷體" w:hAnsi="Times New Roman" w:cs="Times New Roman"/>
          <w:iCs/>
          <w:szCs w:val="24"/>
        </w:rPr>
        <w:t xml:space="preserve">to </w:t>
      </w:r>
      <w:r w:rsidRPr="00F370E0">
        <w:rPr>
          <w:rFonts w:ascii="Times New Roman" w:eastAsia="標楷體" w:hAnsi="Times New Roman" w:cs="Times New Roman"/>
          <w:iCs/>
          <w:szCs w:val="24"/>
        </w:rPr>
        <w:t>the spirit of reasonable accom</w:t>
      </w:r>
      <w:r w:rsidRPr="00885A57">
        <w:rPr>
          <w:rFonts w:ascii="Times New Roman" w:eastAsia="標楷體" w:hAnsi="Times New Roman" w:cs="Times New Roman"/>
          <w:szCs w:val="24"/>
        </w:rPr>
        <w:t xml:space="preserve">modation. The </w:t>
      </w:r>
      <w:r w:rsidRPr="002153DE">
        <w:rPr>
          <w:rFonts w:ascii="Times New Roman" w:eastAsia="標楷體" w:hAnsi="Times New Roman" w:cs="Times New Roman"/>
          <w:iCs/>
          <w:szCs w:val="24"/>
        </w:rPr>
        <w:t>Prison Act</w:t>
      </w:r>
      <w:r w:rsidRPr="00885A57">
        <w:rPr>
          <w:rFonts w:ascii="Times New Roman" w:eastAsia="標楷體" w:hAnsi="Times New Roman" w:cs="Times New Roman"/>
          <w:szCs w:val="24"/>
        </w:rPr>
        <w:t xml:space="preserve"> and </w:t>
      </w:r>
      <w:r w:rsidRPr="002153DE">
        <w:rPr>
          <w:rFonts w:ascii="Times New Roman" w:eastAsia="標楷體" w:hAnsi="Times New Roman" w:cs="Times New Roman"/>
          <w:iCs/>
          <w:szCs w:val="24"/>
        </w:rPr>
        <w:t>Detention Act</w:t>
      </w:r>
      <w:r w:rsidRPr="00885A57">
        <w:rPr>
          <w:rFonts w:ascii="Times New Roman" w:eastAsia="標楷體" w:hAnsi="Times New Roman" w:cs="Times New Roman"/>
          <w:szCs w:val="24"/>
        </w:rPr>
        <w:t xml:space="preserve">, both amended in 2019, stipulate that prisons and detention centers shall protect the rights and interests of inmates and defendants with disabilities, adopt appropriate measures </w:t>
      </w:r>
      <w:r w:rsidR="003E6F92">
        <w:rPr>
          <w:rFonts w:ascii="Times New Roman" w:eastAsia="標楷體" w:hAnsi="Times New Roman" w:cs="Times New Roman"/>
          <w:szCs w:val="24"/>
        </w:rPr>
        <w:t xml:space="preserve">like </w:t>
      </w:r>
      <w:r w:rsidRPr="00885A57">
        <w:rPr>
          <w:rFonts w:ascii="Times New Roman" w:eastAsia="標楷體" w:hAnsi="Times New Roman" w:cs="Times New Roman"/>
          <w:szCs w:val="24"/>
        </w:rPr>
        <w:t>reasonable accommodation</w:t>
      </w:r>
      <w:r w:rsidR="003E6F92">
        <w:rPr>
          <w:rFonts w:ascii="Times New Roman" w:eastAsia="標楷體" w:hAnsi="Times New Roman" w:cs="Times New Roman"/>
          <w:szCs w:val="24"/>
        </w:rPr>
        <w:t>,</w:t>
      </w:r>
      <w:r w:rsidRPr="00885A57">
        <w:rPr>
          <w:rFonts w:ascii="Times New Roman" w:eastAsia="標楷體" w:hAnsi="Times New Roman" w:cs="Times New Roman"/>
          <w:szCs w:val="24"/>
        </w:rPr>
        <w:t xml:space="preserve"> and provide accessible assistive measures </w:t>
      </w:r>
      <w:r w:rsidR="003E6F92">
        <w:rPr>
          <w:rFonts w:ascii="Times New Roman" w:eastAsia="標楷體" w:hAnsi="Times New Roman" w:cs="Times New Roman"/>
          <w:szCs w:val="24"/>
        </w:rPr>
        <w:t xml:space="preserve">keeping in mind </w:t>
      </w:r>
      <w:r w:rsidRPr="00885A57">
        <w:rPr>
          <w:rFonts w:ascii="Times New Roman" w:eastAsia="標楷體" w:hAnsi="Times New Roman" w:cs="Times New Roman"/>
          <w:szCs w:val="24"/>
        </w:rPr>
        <w:t xml:space="preserve">prison characteristics, </w:t>
      </w:r>
      <w:r w:rsidR="003E6F92">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condition of existing facilities, and </w:t>
      </w:r>
      <w:r w:rsidR="003E6F92">
        <w:rPr>
          <w:rFonts w:ascii="Times New Roman" w:eastAsia="標楷體" w:hAnsi="Times New Roman" w:cs="Times New Roman"/>
          <w:szCs w:val="24"/>
        </w:rPr>
        <w:t xml:space="preserve">the </w:t>
      </w:r>
      <w:r w:rsidRPr="00885A57">
        <w:rPr>
          <w:rFonts w:ascii="Times New Roman" w:eastAsia="標楷體" w:hAnsi="Times New Roman" w:cs="Times New Roman"/>
          <w:szCs w:val="24"/>
        </w:rPr>
        <w:t>individual needs of inmates with disabilities.</w:t>
      </w:r>
      <w:r w:rsidRPr="00885A57">
        <w:rPr>
          <w:rStyle w:val="ab"/>
          <w:rFonts w:ascii="Times New Roman" w:eastAsia="標楷體" w:hAnsi="Times New Roman" w:cs="Times New Roman"/>
        </w:rPr>
        <w:footnoteReference w:id="17"/>
      </w:r>
      <w:r w:rsidRPr="00885A57">
        <w:rPr>
          <w:rFonts w:ascii="Times New Roman" w:eastAsia="標楷體" w:hAnsi="Times New Roman" w:cs="Times New Roman"/>
        </w:rPr>
        <w:t xml:space="preserve"> </w:t>
      </w:r>
      <w:r w:rsidR="008F5AE4">
        <w:rPr>
          <w:rFonts w:ascii="Times New Roman" w:eastAsia="標楷體" w:hAnsi="Times New Roman" w:cs="Times New Roman"/>
        </w:rPr>
        <w:t xml:space="preserve">Drawn up in </w:t>
      </w:r>
      <w:r w:rsidRPr="00885A57">
        <w:rPr>
          <w:rFonts w:ascii="Times New Roman" w:eastAsia="標楷體" w:hAnsi="Times New Roman" w:cs="Times New Roman"/>
          <w:szCs w:val="24"/>
        </w:rPr>
        <w:t>2020, the draft amendment to the PDRPA state</w:t>
      </w:r>
      <w:r w:rsidR="008F5AE4">
        <w:rPr>
          <w:rFonts w:ascii="Times New Roman" w:eastAsia="標楷體" w:hAnsi="Times New Roman" w:cs="Times New Roman"/>
          <w:szCs w:val="24"/>
        </w:rPr>
        <w:t>s</w:t>
      </w:r>
      <w:r w:rsidRPr="00885A57">
        <w:rPr>
          <w:rFonts w:ascii="Times New Roman" w:eastAsia="標楷體" w:hAnsi="Times New Roman" w:cs="Times New Roman"/>
          <w:szCs w:val="24"/>
        </w:rPr>
        <w:t xml:space="preserve"> that when handling a</w:t>
      </w:r>
      <w:r w:rsidR="003E6F92">
        <w:rPr>
          <w:rFonts w:ascii="Times New Roman" w:eastAsia="標楷體" w:hAnsi="Times New Roman" w:cs="Times New Roman"/>
          <w:szCs w:val="24"/>
        </w:rPr>
        <w:t xml:space="preserve"> case</w:t>
      </w:r>
      <w:r w:rsidRPr="00885A57">
        <w:rPr>
          <w:rFonts w:ascii="Times New Roman" w:eastAsia="標楷體" w:hAnsi="Times New Roman" w:cs="Times New Roman"/>
          <w:szCs w:val="24"/>
        </w:rPr>
        <w:t xml:space="preserve">, </w:t>
      </w:r>
      <w:r w:rsidR="003E6F92">
        <w:rPr>
          <w:rFonts w:ascii="Times New Roman" w:eastAsia="標楷體" w:hAnsi="Times New Roman" w:cs="Times New Roman"/>
          <w:szCs w:val="24"/>
        </w:rPr>
        <w:t>government</w:t>
      </w:r>
      <w:r w:rsidRPr="00885A57">
        <w:rPr>
          <w:rFonts w:ascii="Times New Roman" w:eastAsia="標楷體" w:hAnsi="Times New Roman" w:cs="Times New Roman"/>
          <w:szCs w:val="24"/>
        </w:rPr>
        <w:t xml:space="preserve"> agencies, schools, institutions, </w:t>
      </w:r>
      <w:r w:rsidR="003E6F92">
        <w:rPr>
          <w:rFonts w:ascii="Times New Roman" w:eastAsia="標楷體" w:hAnsi="Times New Roman" w:cs="Times New Roman"/>
          <w:szCs w:val="24"/>
        </w:rPr>
        <w:t>juridical persons</w:t>
      </w:r>
      <w:r w:rsidRPr="00885A57">
        <w:rPr>
          <w:rFonts w:ascii="Times New Roman" w:eastAsia="標楷體" w:hAnsi="Times New Roman" w:cs="Times New Roman"/>
          <w:szCs w:val="24"/>
        </w:rPr>
        <w:t xml:space="preserve">, and organizations shall provide necessary and appropriate reasonable accommodation that </w:t>
      </w:r>
      <w:r w:rsidR="008F5AE4">
        <w:rPr>
          <w:rFonts w:ascii="Times New Roman" w:eastAsia="標楷體" w:hAnsi="Times New Roman" w:cs="Times New Roman"/>
          <w:szCs w:val="24"/>
        </w:rPr>
        <w:t>does not impose</w:t>
      </w:r>
      <w:r w:rsidRPr="00885A57">
        <w:rPr>
          <w:rFonts w:ascii="Times New Roman" w:eastAsia="標楷體" w:hAnsi="Times New Roman" w:cs="Times New Roman"/>
          <w:szCs w:val="24"/>
        </w:rPr>
        <w:t xml:space="preserve"> </w:t>
      </w:r>
      <w:r w:rsidR="003E6F92">
        <w:rPr>
          <w:rFonts w:ascii="Times New Roman" w:eastAsia="標楷體" w:hAnsi="Times New Roman" w:cs="Times New Roman"/>
          <w:szCs w:val="24"/>
        </w:rPr>
        <w:t xml:space="preserve">a </w:t>
      </w:r>
      <w:r w:rsidRPr="00885A57">
        <w:rPr>
          <w:rFonts w:ascii="Times New Roman" w:eastAsia="標楷體" w:hAnsi="Times New Roman" w:cs="Times New Roman"/>
          <w:szCs w:val="24"/>
        </w:rPr>
        <w:t>disproportionate or undue burden and accord</w:t>
      </w:r>
      <w:r w:rsidR="008F5AE4">
        <w:rPr>
          <w:rFonts w:ascii="Times New Roman" w:eastAsia="標楷體" w:hAnsi="Times New Roman" w:cs="Times New Roman"/>
          <w:szCs w:val="24"/>
        </w:rPr>
        <w:t>s</w:t>
      </w:r>
      <w:r w:rsidRPr="00885A57">
        <w:rPr>
          <w:rFonts w:ascii="Times New Roman" w:eastAsia="標楷體" w:hAnsi="Times New Roman" w:cs="Times New Roman"/>
          <w:szCs w:val="24"/>
        </w:rPr>
        <w:t xml:space="preserve"> </w:t>
      </w:r>
      <w:r w:rsidR="008F5AE4">
        <w:rPr>
          <w:rFonts w:ascii="Times New Roman" w:eastAsia="標楷體" w:hAnsi="Times New Roman" w:cs="Times New Roman"/>
          <w:szCs w:val="24"/>
        </w:rPr>
        <w:t xml:space="preserve">with </w:t>
      </w:r>
      <w:r w:rsidRPr="00885A57">
        <w:rPr>
          <w:rFonts w:ascii="Times New Roman" w:eastAsia="標楷體" w:hAnsi="Times New Roman" w:cs="Times New Roman"/>
          <w:szCs w:val="24"/>
        </w:rPr>
        <w:t xml:space="preserve">the needs of people with disabilities on the grounds of </w:t>
      </w:r>
      <w:r w:rsidR="008F5AE4">
        <w:rPr>
          <w:rFonts w:ascii="Times New Roman" w:eastAsia="標楷體" w:hAnsi="Times New Roman" w:cs="Times New Roman"/>
          <w:szCs w:val="24"/>
        </w:rPr>
        <w:t xml:space="preserve">their </w:t>
      </w:r>
      <w:r w:rsidRPr="00885A57">
        <w:rPr>
          <w:rFonts w:ascii="Times New Roman" w:eastAsia="標楷體" w:hAnsi="Times New Roman" w:cs="Times New Roman"/>
          <w:szCs w:val="24"/>
        </w:rPr>
        <w:t>individual condition</w:t>
      </w:r>
      <w:r w:rsidR="008F5AE4">
        <w:rPr>
          <w:rFonts w:ascii="Times New Roman" w:eastAsia="標楷體" w:hAnsi="Times New Roman" w:cs="Times New Roman"/>
          <w:szCs w:val="24"/>
        </w:rPr>
        <w:t>s</w:t>
      </w:r>
      <w:r w:rsidRPr="00885A57">
        <w:rPr>
          <w:rFonts w:ascii="Times New Roman" w:eastAsia="標楷體" w:hAnsi="Times New Roman" w:cs="Times New Roman"/>
          <w:szCs w:val="24"/>
        </w:rPr>
        <w:t xml:space="preserve"> (refer to Table 5.2. for relevant regulations).</w:t>
      </w:r>
      <w:bookmarkEnd w:id="26"/>
    </w:p>
    <w:p w14:paraId="06696FC2" w14:textId="1DEE2471" w:rsidR="00DF248E" w:rsidRPr="00885A57" w:rsidRDefault="00AD79AD"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27" w:name="_Ref39510359"/>
      <w:r w:rsidRPr="00885A57">
        <w:rPr>
          <w:rFonts w:ascii="Times New Roman" w:eastAsia="標楷體" w:hAnsi="Times New Roman" w:cs="Times New Roman"/>
          <w:szCs w:val="24"/>
        </w:rPr>
        <w:t xml:space="preserve">The concept of reasonable accommodation has been </w:t>
      </w:r>
      <w:r w:rsidR="003E6F92">
        <w:rPr>
          <w:rFonts w:ascii="Times New Roman" w:eastAsia="標楷體" w:hAnsi="Times New Roman" w:cs="Times New Roman"/>
          <w:szCs w:val="24"/>
        </w:rPr>
        <w:t>included</w:t>
      </w:r>
      <w:r w:rsidR="003E6F92"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in Article 4 of the </w:t>
      </w:r>
      <w:r w:rsidRPr="002153DE">
        <w:rPr>
          <w:rFonts w:ascii="Times New Roman" w:eastAsia="標楷體" w:hAnsi="Times New Roman" w:cs="Times New Roman"/>
          <w:iCs/>
          <w:szCs w:val="24"/>
        </w:rPr>
        <w:t>Educational Fundamental Act</w:t>
      </w:r>
      <w:r w:rsidRPr="00885A57">
        <w:rPr>
          <w:rFonts w:ascii="Times New Roman" w:eastAsia="標楷體" w:hAnsi="Times New Roman" w:cs="Times New Roman"/>
          <w:szCs w:val="24"/>
        </w:rPr>
        <w:t xml:space="preserve">, which stipulates that special protection for the education of people with disabilities shall be provided </w:t>
      </w:r>
      <w:r w:rsidR="003E6F92">
        <w:rPr>
          <w:rFonts w:ascii="Times New Roman" w:eastAsia="標楷體" w:hAnsi="Times New Roman" w:cs="Times New Roman"/>
          <w:szCs w:val="24"/>
        </w:rPr>
        <w:t xml:space="preserve">keeping in mind </w:t>
      </w:r>
      <w:r w:rsidRPr="00885A57">
        <w:rPr>
          <w:rFonts w:ascii="Times New Roman" w:eastAsia="標楷體" w:hAnsi="Times New Roman" w:cs="Times New Roman"/>
          <w:szCs w:val="24"/>
        </w:rPr>
        <w:t xml:space="preserve">their autonomy and </w:t>
      </w:r>
      <w:r w:rsidR="008F5AE4">
        <w:rPr>
          <w:rFonts w:ascii="Times New Roman" w:eastAsia="標楷體" w:hAnsi="Times New Roman" w:cs="Times New Roman"/>
          <w:szCs w:val="24"/>
        </w:rPr>
        <w:t>particular</w:t>
      </w:r>
      <w:r w:rsidR="008F5AE4"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characteristics in accordance with relevant laws and </w:t>
      </w:r>
      <w:r w:rsidRPr="00885A57">
        <w:rPr>
          <w:rFonts w:ascii="Times New Roman" w:eastAsia="標楷體" w:hAnsi="Times New Roman" w:cs="Times New Roman"/>
          <w:szCs w:val="24"/>
        </w:rPr>
        <w:lastRenderedPageBreak/>
        <w:t xml:space="preserve">regulations to support their development. In 2019, the government commissioned research on the amendment of the SEA, discussing the obligation of reasonable accommodation as well as regulations on how the denial of reasonable accommodation constitutes discrimination. </w:t>
      </w:r>
      <w:r w:rsidR="008F5AE4">
        <w:rPr>
          <w:rFonts w:ascii="Times New Roman" w:eastAsia="標楷體" w:hAnsi="Times New Roman" w:cs="Times New Roman"/>
          <w:szCs w:val="24"/>
        </w:rPr>
        <w:t>R</w:t>
      </w:r>
      <w:r w:rsidRPr="00885A57">
        <w:rPr>
          <w:rFonts w:ascii="Times New Roman" w:eastAsia="標楷體" w:hAnsi="Times New Roman" w:cs="Times New Roman"/>
          <w:szCs w:val="24"/>
        </w:rPr>
        <w:t xml:space="preserve">egarding curricular accommodation, the </w:t>
      </w:r>
      <w:r w:rsidRPr="002153DE">
        <w:rPr>
          <w:rFonts w:ascii="Times New Roman" w:eastAsia="標楷體" w:hAnsi="Times New Roman" w:cs="Times New Roman"/>
          <w:iCs/>
          <w:szCs w:val="24"/>
        </w:rPr>
        <w:t>Curricu</w:t>
      </w:r>
      <w:r w:rsidRPr="000A60B9">
        <w:rPr>
          <w:rFonts w:ascii="Times New Roman" w:eastAsia="標楷體" w:hAnsi="Times New Roman" w:cs="Times New Roman"/>
          <w:szCs w:val="24"/>
        </w:rPr>
        <w:t>lum Guidelines of 12-Year Basic Education: General Guidelines</w:t>
      </w:r>
      <w:r w:rsidRPr="00885A57">
        <w:rPr>
          <w:rFonts w:ascii="Times New Roman" w:eastAsia="標楷體" w:hAnsi="Times New Roman" w:cs="Times New Roman"/>
          <w:szCs w:val="24"/>
        </w:rPr>
        <w:t xml:space="preserve"> incorporate</w:t>
      </w:r>
      <w:r w:rsidR="008F5AE4">
        <w:rPr>
          <w:rFonts w:ascii="Times New Roman" w:eastAsia="標楷體" w:hAnsi="Times New Roman" w:cs="Times New Roman"/>
          <w:szCs w:val="24"/>
        </w:rPr>
        <w:t>s</w:t>
      </w:r>
      <w:r w:rsidRPr="00885A57">
        <w:rPr>
          <w:rFonts w:ascii="Times New Roman" w:eastAsia="標楷體" w:hAnsi="Times New Roman" w:cs="Times New Roman"/>
          <w:szCs w:val="24"/>
        </w:rPr>
        <w:t xml:space="preserve"> essential concepts of the CRPD, mandating </w:t>
      </w:r>
      <w:r w:rsidR="003E6F92">
        <w:rPr>
          <w:rFonts w:ascii="Times New Roman" w:eastAsia="標楷體" w:hAnsi="Times New Roman" w:cs="Times New Roman"/>
          <w:szCs w:val="24"/>
        </w:rPr>
        <w:t xml:space="preserve">that </w:t>
      </w:r>
      <w:r w:rsidRPr="00885A57">
        <w:rPr>
          <w:rFonts w:ascii="Times New Roman" w:eastAsia="標楷體" w:hAnsi="Times New Roman" w:cs="Times New Roman"/>
          <w:szCs w:val="24"/>
        </w:rPr>
        <w:t xml:space="preserve">schools make appropriate modifications and adjustments </w:t>
      </w:r>
      <w:r w:rsidR="003E6F92">
        <w:rPr>
          <w:rFonts w:ascii="Times New Roman" w:eastAsia="標楷體" w:hAnsi="Times New Roman" w:cs="Times New Roman"/>
          <w:szCs w:val="24"/>
        </w:rPr>
        <w:t xml:space="preserve">in line with </w:t>
      </w:r>
      <w:r w:rsidRPr="00885A57">
        <w:rPr>
          <w:rFonts w:ascii="Times New Roman" w:eastAsia="標楷體" w:hAnsi="Times New Roman" w:cs="Times New Roman"/>
          <w:szCs w:val="24"/>
        </w:rPr>
        <w:t xml:space="preserve">the specific needs of students and avoiding the imposition of </w:t>
      </w:r>
      <w:r w:rsidR="003E6F92">
        <w:rPr>
          <w:rFonts w:ascii="Times New Roman" w:eastAsia="標楷體" w:hAnsi="Times New Roman" w:cs="Times New Roman"/>
          <w:szCs w:val="24"/>
        </w:rPr>
        <w:t xml:space="preserve">a </w:t>
      </w:r>
      <w:r w:rsidRPr="00885A57">
        <w:rPr>
          <w:rFonts w:ascii="Times New Roman" w:eastAsia="標楷體" w:hAnsi="Times New Roman" w:cs="Times New Roman"/>
          <w:szCs w:val="24"/>
        </w:rPr>
        <w:t xml:space="preserve">disproportionate or undue burden on </w:t>
      </w:r>
      <w:r w:rsidRPr="008F5AE4">
        <w:rPr>
          <w:rFonts w:ascii="Times New Roman" w:eastAsia="標楷體" w:hAnsi="Times New Roman" w:cs="Times New Roman"/>
          <w:szCs w:val="24"/>
        </w:rPr>
        <w:t xml:space="preserve">the school, teacher(s), or government. Moreover, the Handbook on the 12-Year Basic Education Curriculum Accommodation of All Learning Areas for Students with Disabilities is available for teachers as a reference. Based on the </w:t>
      </w:r>
      <w:r w:rsidRPr="000A60B9">
        <w:rPr>
          <w:rFonts w:ascii="Times New Roman" w:eastAsia="標楷體" w:hAnsi="Times New Roman" w:cs="Times New Roman"/>
          <w:szCs w:val="24"/>
        </w:rPr>
        <w:t>Implementation Regulations Governing Special Education Curricula, Teaching Materials, Teaching Methods</w:t>
      </w:r>
      <w:r w:rsidR="008F5AE4">
        <w:rPr>
          <w:rFonts w:ascii="Times New Roman" w:eastAsia="標楷體" w:hAnsi="Times New Roman" w:cs="Times New Roman"/>
          <w:szCs w:val="24"/>
        </w:rPr>
        <w:t>,</w:t>
      </w:r>
      <w:r w:rsidRPr="000A60B9">
        <w:rPr>
          <w:rFonts w:ascii="Times New Roman" w:eastAsia="標楷體" w:hAnsi="Times New Roman" w:cs="Times New Roman"/>
          <w:szCs w:val="24"/>
        </w:rPr>
        <w:t xml:space="preserve"> and Assessment</w:t>
      </w:r>
      <w:r w:rsidR="008F5AE4">
        <w:rPr>
          <w:rFonts w:ascii="Times New Roman" w:eastAsia="標楷體" w:hAnsi="Times New Roman" w:cs="Times New Roman"/>
          <w:szCs w:val="24"/>
        </w:rPr>
        <w:t>s</w:t>
      </w:r>
      <w:r w:rsidRPr="008F5AE4">
        <w:rPr>
          <w:rFonts w:ascii="Times New Roman" w:eastAsia="標楷體" w:hAnsi="Times New Roman" w:cs="Times New Roman"/>
          <w:szCs w:val="24"/>
        </w:rPr>
        <w:t>,</w:t>
      </w:r>
      <w:r w:rsidRPr="00885A57">
        <w:rPr>
          <w:rFonts w:ascii="Times New Roman" w:eastAsia="標楷體" w:hAnsi="Times New Roman" w:cs="Times New Roman"/>
          <w:szCs w:val="24"/>
        </w:rPr>
        <w:t xml:space="preserve"> schools are permitted to flexibly adjust courses and course duration </w:t>
      </w:r>
      <w:r w:rsidR="00116924">
        <w:rPr>
          <w:rFonts w:ascii="Times New Roman" w:eastAsia="標楷體" w:hAnsi="Times New Roman" w:cs="Times New Roman"/>
          <w:szCs w:val="24"/>
        </w:rPr>
        <w:t xml:space="preserve">to meet </w:t>
      </w:r>
      <w:r w:rsidRPr="00885A57">
        <w:rPr>
          <w:rFonts w:ascii="Times New Roman" w:eastAsia="標楷體" w:hAnsi="Times New Roman" w:cs="Times New Roman"/>
          <w:szCs w:val="24"/>
        </w:rPr>
        <w:t>individual</w:t>
      </w:r>
      <w:r w:rsidR="00116924">
        <w:rPr>
          <w:rFonts w:ascii="Times New Roman" w:eastAsia="標楷體" w:hAnsi="Times New Roman" w:cs="Times New Roman"/>
          <w:szCs w:val="24"/>
        </w:rPr>
        <w:t xml:space="preserve"> student</w:t>
      </w:r>
      <w:r w:rsidRPr="00885A57">
        <w:rPr>
          <w:rFonts w:ascii="Times New Roman" w:eastAsia="標楷體" w:hAnsi="Times New Roman" w:cs="Times New Roman"/>
          <w:szCs w:val="24"/>
        </w:rPr>
        <w:t xml:space="preserve"> needs</w:t>
      </w:r>
      <w:bookmarkEnd w:id="27"/>
      <w:r w:rsidR="002B7CFB" w:rsidRPr="00885A57">
        <w:rPr>
          <w:rFonts w:ascii="Times New Roman" w:eastAsia="標楷體" w:hAnsi="Times New Roman" w:cs="Times New Roman"/>
          <w:szCs w:val="24"/>
        </w:rPr>
        <w:t>.</w:t>
      </w:r>
    </w:p>
    <w:p w14:paraId="31697E31" w14:textId="0212168D" w:rsidR="00692114" w:rsidRPr="00885A57" w:rsidRDefault="00AD79AD" w:rsidP="00AC1256">
      <w:pPr>
        <w:pStyle w:val="a7"/>
        <w:numPr>
          <w:ilvl w:val="0"/>
          <w:numId w:val="45"/>
        </w:numPr>
        <w:spacing w:after="120" w:line="360" w:lineRule="auto"/>
        <w:ind w:leftChars="0" w:left="567" w:hanging="567"/>
        <w:jc w:val="both"/>
        <w:rPr>
          <w:rFonts w:ascii="Times New Roman" w:eastAsia="標楷體" w:hAnsi="Times New Roman" w:cs="Times New Roman"/>
          <w:strike/>
          <w:szCs w:val="24"/>
        </w:rPr>
      </w:pPr>
      <w:bookmarkStart w:id="28" w:name="_Ref55903159"/>
      <w:r w:rsidRPr="00885A57">
        <w:rPr>
          <w:rFonts w:ascii="Times New Roman" w:eastAsia="標楷體" w:hAnsi="Times New Roman" w:cs="Times New Roman"/>
          <w:szCs w:val="24"/>
        </w:rPr>
        <w:t xml:space="preserve">The </w:t>
      </w:r>
      <w:r w:rsidRPr="002153DE">
        <w:rPr>
          <w:rFonts w:ascii="Times New Roman" w:eastAsia="標楷體" w:hAnsi="Times New Roman" w:cs="Times New Roman"/>
          <w:iCs/>
          <w:szCs w:val="24"/>
        </w:rPr>
        <w:t xml:space="preserve">Regulations Governing National Examination Rights for </w:t>
      </w:r>
      <w:r w:rsidR="007C333F">
        <w:rPr>
          <w:rFonts w:ascii="Times New Roman" w:eastAsia="標楷體" w:hAnsi="Times New Roman" w:cs="Times New Roman"/>
          <w:iCs/>
          <w:szCs w:val="24"/>
        </w:rPr>
        <w:t>People with D</w:t>
      </w:r>
      <w:r w:rsidR="00945A5C">
        <w:rPr>
          <w:rFonts w:ascii="Times New Roman" w:eastAsia="標楷體" w:hAnsi="Times New Roman" w:cs="Times New Roman"/>
          <w:iCs/>
          <w:szCs w:val="24"/>
        </w:rPr>
        <w:t>i</w:t>
      </w:r>
      <w:r w:rsidR="007C333F">
        <w:rPr>
          <w:rFonts w:ascii="Times New Roman" w:eastAsia="標楷體" w:hAnsi="Times New Roman" w:cs="Times New Roman"/>
          <w:iCs/>
          <w:szCs w:val="24"/>
        </w:rPr>
        <w:t>sabilities</w:t>
      </w:r>
      <w:r w:rsidRPr="00885A57">
        <w:rPr>
          <w:rFonts w:ascii="Times New Roman" w:eastAsia="標楷體" w:hAnsi="Times New Roman" w:cs="Times New Roman"/>
          <w:szCs w:val="24"/>
        </w:rPr>
        <w:t xml:space="preserve"> were established to ensure fairness and equal rights for people with disabilities. Under these </w:t>
      </w:r>
      <w:r w:rsidR="008F5AE4">
        <w:rPr>
          <w:rFonts w:ascii="Times New Roman" w:eastAsia="標楷體" w:hAnsi="Times New Roman" w:cs="Times New Roman"/>
          <w:szCs w:val="24"/>
        </w:rPr>
        <w:t>r</w:t>
      </w:r>
      <w:r w:rsidRPr="00885A57">
        <w:rPr>
          <w:rFonts w:ascii="Times New Roman" w:eastAsia="標楷體" w:hAnsi="Times New Roman" w:cs="Times New Roman"/>
          <w:szCs w:val="24"/>
        </w:rPr>
        <w:t xml:space="preserve">egulations, </w:t>
      </w:r>
      <w:r w:rsidR="008F5AE4">
        <w:rPr>
          <w:rFonts w:ascii="Times New Roman" w:eastAsia="標楷體" w:hAnsi="Times New Roman" w:cs="Times New Roman"/>
          <w:szCs w:val="24"/>
        </w:rPr>
        <w:t xml:space="preserve">students </w:t>
      </w:r>
      <w:r w:rsidRPr="00885A57">
        <w:rPr>
          <w:rFonts w:ascii="Times New Roman" w:eastAsia="標楷體" w:hAnsi="Times New Roman" w:cs="Times New Roman"/>
          <w:szCs w:val="24"/>
        </w:rPr>
        <w:t xml:space="preserve">with disabilities may apply for disability-related testing accommodations. In cases where such accommodations are deemed reasonably necessary and do not impair examination integrity, the review committee for the protection of national examination rights for </w:t>
      </w:r>
      <w:r w:rsidR="007C333F">
        <w:rPr>
          <w:rFonts w:ascii="Times New Roman" w:eastAsia="標楷體" w:hAnsi="Times New Roman" w:cs="Times New Roman"/>
          <w:szCs w:val="24"/>
        </w:rPr>
        <w:t>people with disabilities</w:t>
      </w:r>
      <w:r w:rsidRPr="00885A57">
        <w:rPr>
          <w:rFonts w:ascii="Times New Roman" w:eastAsia="標楷體" w:hAnsi="Times New Roman" w:cs="Times New Roman"/>
          <w:szCs w:val="24"/>
        </w:rPr>
        <w:t xml:space="preserve"> will approve the provision of testing accommodations</w:t>
      </w:r>
      <w:bookmarkEnd w:id="28"/>
      <w:r w:rsidRPr="00885A57">
        <w:rPr>
          <w:rFonts w:ascii="Times New Roman" w:eastAsia="標楷體" w:hAnsi="Times New Roman" w:cs="Times New Roman"/>
          <w:szCs w:val="24"/>
        </w:rPr>
        <w:t>.</w:t>
      </w:r>
      <w:r w:rsidR="000D7BB3">
        <w:rPr>
          <w:rFonts w:ascii="Times New Roman" w:eastAsia="標楷體" w:hAnsi="Times New Roman" w:cs="Times New Roman"/>
          <w:szCs w:val="24"/>
        </w:rPr>
        <w:t xml:space="preserve"> </w:t>
      </w:r>
      <w:r w:rsidR="000D7BB3" w:rsidRPr="000D7BB3">
        <w:rPr>
          <w:rFonts w:ascii="Times New Roman" w:eastAsia="標楷體" w:hAnsi="Times New Roman" w:cs="Times New Roman"/>
          <w:szCs w:val="24"/>
        </w:rPr>
        <w:t>P</w:t>
      </w:r>
      <w:r w:rsidR="000D7BB3">
        <w:rPr>
          <w:rFonts w:ascii="Times New Roman" w:eastAsia="標楷體" w:hAnsi="Times New Roman" w:cs="Times New Roman"/>
          <w:szCs w:val="24"/>
        </w:rPr>
        <w:t xml:space="preserve">lease refer to </w:t>
      </w:r>
      <w:r w:rsidR="000D7BB3" w:rsidRPr="008F5AE4">
        <w:rPr>
          <w:rFonts w:ascii="Times New Roman" w:eastAsia="標楷體" w:hAnsi="Times New Roman" w:cs="Times New Roman"/>
          <w:szCs w:val="24"/>
        </w:rPr>
        <w:t>Article 24</w:t>
      </w:r>
      <w:r w:rsidR="00931A86" w:rsidRPr="00F370E0">
        <w:rPr>
          <w:rFonts w:ascii="Times New Roman" w:eastAsia="標楷體" w:hAnsi="Times New Roman" w:cs="Times New Roman"/>
          <w:szCs w:val="24"/>
        </w:rPr>
        <w:t xml:space="preserve">: </w:t>
      </w:r>
      <w:r w:rsidR="000D7BB3" w:rsidRPr="008F5AE4">
        <w:rPr>
          <w:rFonts w:ascii="Times New Roman" w:eastAsia="標楷體" w:hAnsi="Times New Roman" w:cs="Times New Roman"/>
          <w:szCs w:val="24"/>
        </w:rPr>
        <w:t xml:space="preserve">Education </w:t>
      </w:r>
      <w:r w:rsidR="000D7BB3" w:rsidRPr="000D7BB3">
        <w:rPr>
          <w:rFonts w:ascii="Times New Roman" w:eastAsia="標楷體" w:hAnsi="Times New Roman" w:cs="Times New Roman"/>
          <w:szCs w:val="24"/>
        </w:rPr>
        <w:t>for regulations on services and measures for in-school and entrance examinations for students with disabilities.</w:t>
      </w:r>
    </w:p>
    <w:p w14:paraId="3EBA77C3" w14:textId="745DA4A3" w:rsidR="00991769" w:rsidRPr="00885A57" w:rsidRDefault="00AD79AD"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29" w:name="_Ref55903179"/>
      <w:r w:rsidRPr="00885A57">
        <w:rPr>
          <w:rFonts w:ascii="Times New Roman" w:eastAsia="標楷體" w:hAnsi="Times New Roman" w:cs="Times New Roman"/>
          <w:szCs w:val="24"/>
        </w:rPr>
        <w:lastRenderedPageBreak/>
        <w:t xml:space="preserve">To help employees with disabilities </w:t>
      </w:r>
      <w:r w:rsidR="00690ED5">
        <w:rPr>
          <w:rFonts w:ascii="Times New Roman" w:eastAsia="標楷體" w:hAnsi="Times New Roman" w:cs="Times New Roman"/>
          <w:szCs w:val="24"/>
        </w:rPr>
        <w:t xml:space="preserve">eliminate </w:t>
      </w:r>
      <w:r w:rsidRPr="00885A57">
        <w:rPr>
          <w:rFonts w:ascii="Times New Roman" w:eastAsia="標楷體" w:hAnsi="Times New Roman" w:cs="Times New Roman"/>
          <w:szCs w:val="24"/>
        </w:rPr>
        <w:t xml:space="preserve">work obstacles, the MOL established the </w:t>
      </w:r>
      <w:r w:rsidRPr="002153DE">
        <w:rPr>
          <w:rFonts w:ascii="Times New Roman" w:eastAsia="標楷體" w:hAnsi="Times New Roman" w:cs="Times New Roman"/>
          <w:iCs/>
          <w:szCs w:val="24"/>
        </w:rPr>
        <w:t xml:space="preserve">Guidelines for Implementation of and Subsidies for </w:t>
      </w:r>
      <w:r w:rsidR="001759AD" w:rsidRPr="002153DE">
        <w:rPr>
          <w:rFonts w:ascii="Times New Roman" w:eastAsia="標楷體" w:hAnsi="Times New Roman" w:cs="Times New Roman"/>
          <w:iCs/>
          <w:szCs w:val="24"/>
        </w:rPr>
        <w:t>Job Accommodation</w:t>
      </w:r>
      <w:r w:rsidRPr="002153DE">
        <w:rPr>
          <w:rFonts w:ascii="Times New Roman" w:eastAsia="標楷體" w:hAnsi="Times New Roman" w:cs="Times New Roman"/>
          <w:iCs/>
          <w:szCs w:val="24"/>
        </w:rPr>
        <w:t xml:space="preserve"> for People with Disabilities</w:t>
      </w:r>
      <w:r w:rsidRPr="00885A57">
        <w:rPr>
          <w:rFonts w:ascii="Times New Roman" w:eastAsia="標楷體" w:hAnsi="Times New Roman" w:cs="Times New Roman"/>
          <w:szCs w:val="24"/>
        </w:rPr>
        <w:t xml:space="preserve">, </w:t>
      </w:r>
      <w:r w:rsidR="00AA47C4">
        <w:rPr>
          <w:rFonts w:ascii="Times New Roman" w:eastAsia="標楷體" w:hAnsi="Times New Roman" w:cs="Times New Roman"/>
          <w:szCs w:val="24"/>
        </w:rPr>
        <w:t xml:space="preserve">which offers affected persons </w:t>
      </w:r>
      <w:r w:rsidRPr="00885A57">
        <w:rPr>
          <w:rFonts w:ascii="Times New Roman" w:eastAsia="標楷體" w:hAnsi="Times New Roman" w:cs="Times New Roman"/>
          <w:szCs w:val="24"/>
        </w:rPr>
        <w:t xml:space="preserve">the possibility of attaining an improved workplace environment, equipment, and conditions and covering the costs of necessary assistive technologies at work and working method adjustments. </w:t>
      </w:r>
      <w:r w:rsidR="00AA47C4">
        <w:rPr>
          <w:rFonts w:ascii="Times New Roman" w:eastAsia="標楷體" w:hAnsi="Times New Roman" w:cs="Times New Roman"/>
          <w:szCs w:val="24"/>
        </w:rPr>
        <w:t xml:space="preserve">Upon </w:t>
      </w:r>
      <w:r w:rsidRPr="00885A57">
        <w:rPr>
          <w:rFonts w:ascii="Times New Roman" w:eastAsia="標楷體" w:hAnsi="Times New Roman" w:cs="Times New Roman"/>
          <w:szCs w:val="24"/>
        </w:rPr>
        <w:t xml:space="preserve">application </w:t>
      </w:r>
      <w:r w:rsidR="00AA47C4">
        <w:rPr>
          <w:rFonts w:ascii="Times New Roman" w:eastAsia="標楷體" w:hAnsi="Times New Roman" w:cs="Times New Roman"/>
          <w:szCs w:val="24"/>
        </w:rPr>
        <w:t xml:space="preserve">by </w:t>
      </w:r>
      <w:r w:rsidRPr="00885A57">
        <w:rPr>
          <w:rFonts w:ascii="Times New Roman" w:eastAsia="標楷體" w:hAnsi="Times New Roman" w:cs="Times New Roman"/>
          <w:szCs w:val="24"/>
        </w:rPr>
        <w:t xml:space="preserve">an employer or </w:t>
      </w:r>
      <w:r w:rsidR="00AA47C4">
        <w:rPr>
          <w:rFonts w:ascii="Times New Roman" w:eastAsia="標楷體" w:hAnsi="Times New Roman" w:cs="Times New Roman"/>
          <w:szCs w:val="24"/>
        </w:rPr>
        <w:t>disabled person</w:t>
      </w:r>
      <w:r w:rsidRPr="00885A57">
        <w:rPr>
          <w:rFonts w:ascii="Times New Roman" w:eastAsia="標楷體" w:hAnsi="Times New Roman" w:cs="Times New Roman"/>
          <w:szCs w:val="24"/>
        </w:rPr>
        <w:t xml:space="preserve">, the MOL performs a document review and conducts an onsite visit, after which </w:t>
      </w:r>
      <w:r w:rsidR="00AA47C4">
        <w:rPr>
          <w:rFonts w:ascii="Times New Roman" w:eastAsia="標楷體" w:hAnsi="Times New Roman" w:cs="Times New Roman"/>
          <w:szCs w:val="24"/>
        </w:rPr>
        <w:t xml:space="preserve">it may </w:t>
      </w:r>
      <w:r w:rsidRPr="00885A57">
        <w:rPr>
          <w:rFonts w:ascii="Times New Roman" w:eastAsia="標楷體" w:hAnsi="Times New Roman" w:cs="Times New Roman"/>
          <w:szCs w:val="24"/>
        </w:rPr>
        <w:t>authorize a subsidy of at most NT$100,000 for each case. Where applicants dispute the approved subsidy amount, they are entitled to apply for a secondary review from the unit granting approval or submit a petition</w:t>
      </w:r>
      <w:bookmarkEnd w:id="29"/>
      <w:r w:rsidRPr="00885A57">
        <w:rPr>
          <w:rFonts w:ascii="Times New Roman" w:eastAsia="標楷體" w:hAnsi="Times New Roman" w:cs="Times New Roman"/>
          <w:szCs w:val="24"/>
        </w:rPr>
        <w:t>.</w:t>
      </w:r>
    </w:p>
    <w:p w14:paraId="12915BD8" w14:textId="0BD0F904" w:rsidR="00991769" w:rsidRPr="00885A57" w:rsidRDefault="00AD79AD" w:rsidP="001A2139">
      <w:pPr>
        <w:pStyle w:val="a7"/>
        <w:numPr>
          <w:ilvl w:val="0"/>
          <w:numId w:val="12"/>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Legal aid and remedies</w:t>
      </w:r>
    </w:p>
    <w:p w14:paraId="75122DD3" w14:textId="3BE8FF9A" w:rsidR="00A02754" w:rsidRPr="00885A57" w:rsidRDefault="00AD79AD" w:rsidP="00AC1256">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30" w:name="_Ref33523426"/>
      <w:r w:rsidRPr="00885A57">
        <w:rPr>
          <w:rFonts w:ascii="Times New Roman" w:eastAsia="標楷體" w:hAnsi="Times New Roman" w:cs="Times New Roman"/>
          <w:szCs w:val="24"/>
        </w:rPr>
        <w:t xml:space="preserve">The </w:t>
      </w:r>
      <w:r w:rsidRPr="002153DE">
        <w:rPr>
          <w:rFonts w:ascii="Times New Roman" w:eastAsia="標楷體" w:hAnsi="Times New Roman" w:cs="Times New Roman"/>
          <w:iCs/>
          <w:szCs w:val="24"/>
        </w:rPr>
        <w:t xml:space="preserve">Constitution </w:t>
      </w:r>
      <w:r w:rsidRPr="00885A57">
        <w:rPr>
          <w:rFonts w:ascii="Times New Roman" w:eastAsia="標楷體" w:hAnsi="Times New Roman" w:cs="Times New Roman"/>
          <w:szCs w:val="24"/>
        </w:rPr>
        <w:t>and various acts codify the rights of the people</w:t>
      </w:r>
      <w:r w:rsidR="00AA47C4">
        <w:rPr>
          <w:rFonts w:ascii="Times New Roman" w:eastAsia="標楷體" w:hAnsi="Times New Roman" w:cs="Times New Roman"/>
          <w:szCs w:val="24"/>
        </w:rPr>
        <w:t>.</w:t>
      </w:r>
      <w:r w:rsidR="00AA47C4" w:rsidRPr="00885A57">
        <w:rPr>
          <w:rFonts w:ascii="Times New Roman" w:eastAsia="標楷體" w:hAnsi="Times New Roman" w:cs="Times New Roman"/>
          <w:szCs w:val="24"/>
        </w:rPr>
        <w:t xml:space="preserve"> </w:t>
      </w:r>
      <w:r w:rsidR="00AA47C4">
        <w:rPr>
          <w:rFonts w:ascii="Times New Roman" w:eastAsia="標楷體" w:hAnsi="Times New Roman" w:cs="Times New Roman"/>
          <w:szCs w:val="24"/>
        </w:rPr>
        <w:t>T</w:t>
      </w:r>
      <w:r w:rsidRPr="00885A57">
        <w:rPr>
          <w:rFonts w:ascii="Times New Roman" w:eastAsia="標楷體" w:hAnsi="Times New Roman" w:cs="Times New Roman"/>
          <w:szCs w:val="24"/>
        </w:rPr>
        <w:t>hese rights are protected by Taiwan’s judicial system. Administrat</w:t>
      </w:r>
      <w:r w:rsidR="00AA47C4">
        <w:rPr>
          <w:rFonts w:ascii="Times New Roman" w:eastAsia="標楷體" w:hAnsi="Times New Roman" w:cs="Times New Roman"/>
          <w:szCs w:val="24"/>
        </w:rPr>
        <w:t>i</w:t>
      </w:r>
      <w:r w:rsidRPr="00885A57">
        <w:rPr>
          <w:rFonts w:ascii="Times New Roman" w:eastAsia="標楷體" w:hAnsi="Times New Roman" w:cs="Times New Roman"/>
          <w:szCs w:val="24"/>
        </w:rPr>
        <w:t xml:space="preserve">ve </w:t>
      </w:r>
      <w:r w:rsidR="00AA47C4">
        <w:rPr>
          <w:rFonts w:ascii="Times New Roman" w:eastAsia="標楷體" w:hAnsi="Times New Roman" w:cs="Times New Roman"/>
          <w:szCs w:val="24"/>
        </w:rPr>
        <w:t>c</w:t>
      </w:r>
      <w:r w:rsidRPr="00885A57">
        <w:rPr>
          <w:rFonts w:ascii="Times New Roman" w:eastAsia="標楷體" w:hAnsi="Times New Roman" w:cs="Times New Roman"/>
          <w:szCs w:val="24"/>
        </w:rPr>
        <w:t xml:space="preserve">ourts and </w:t>
      </w:r>
      <w:r w:rsidR="00AA47C4">
        <w:rPr>
          <w:rFonts w:ascii="Times New Roman" w:eastAsia="標楷體" w:hAnsi="Times New Roman" w:cs="Times New Roman"/>
          <w:szCs w:val="24"/>
        </w:rPr>
        <w:t>i</w:t>
      </w:r>
      <w:r w:rsidRPr="00885A57">
        <w:rPr>
          <w:rFonts w:ascii="Times New Roman" w:eastAsia="標楷體" w:hAnsi="Times New Roman" w:cs="Times New Roman"/>
          <w:szCs w:val="24"/>
        </w:rPr>
        <w:t xml:space="preserve">ntellectual </w:t>
      </w:r>
      <w:r w:rsidR="00AA47C4">
        <w:rPr>
          <w:rFonts w:ascii="Times New Roman" w:eastAsia="標楷體" w:hAnsi="Times New Roman" w:cs="Times New Roman"/>
          <w:szCs w:val="24"/>
        </w:rPr>
        <w:t>p</w:t>
      </w:r>
      <w:r w:rsidRPr="00885A57">
        <w:rPr>
          <w:rFonts w:ascii="Times New Roman" w:eastAsia="標楷體" w:hAnsi="Times New Roman" w:cs="Times New Roman"/>
          <w:szCs w:val="24"/>
        </w:rPr>
        <w:t xml:space="preserve">roperty </w:t>
      </w:r>
      <w:r w:rsidR="00AA47C4">
        <w:rPr>
          <w:rFonts w:ascii="Times New Roman" w:eastAsia="標楷體" w:hAnsi="Times New Roman" w:cs="Times New Roman"/>
          <w:szCs w:val="24"/>
        </w:rPr>
        <w:t>c</w:t>
      </w:r>
      <w:r w:rsidRPr="00885A57">
        <w:rPr>
          <w:rFonts w:ascii="Times New Roman" w:eastAsia="標楷體" w:hAnsi="Times New Roman" w:cs="Times New Roman"/>
          <w:szCs w:val="24"/>
        </w:rPr>
        <w:t xml:space="preserve">ourts are responsible for resolving public law disputes and intellectual property disputes involving litigation, respectively. Juvenile and </w:t>
      </w:r>
      <w:r w:rsidR="00AA47C4">
        <w:rPr>
          <w:rFonts w:ascii="Times New Roman" w:eastAsia="標楷體" w:hAnsi="Times New Roman" w:cs="Times New Roman"/>
          <w:szCs w:val="24"/>
        </w:rPr>
        <w:t>f</w:t>
      </w:r>
      <w:r w:rsidRPr="00885A57">
        <w:rPr>
          <w:rFonts w:ascii="Times New Roman" w:eastAsia="標楷體" w:hAnsi="Times New Roman" w:cs="Times New Roman"/>
          <w:szCs w:val="24"/>
        </w:rPr>
        <w:t xml:space="preserve">amily </w:t>
      </w:r>
      <w:r w:rsidR="00AA47C4">
        <w:rPr>
          <w:rFonts w:ascii="Times New Roman" w:eastAsia="標楷體" w:hAnsi="Times New Roman" w:cs="Times New Roman"/>
          <w:szCs w:val="24"/>
        </w:rPr>
        <w:t>c</w:t>
      </w:r>
      <w:r w:rsidRPr="00885A57">
        <w:rPr>
          <w:rFonts w:ascii="Times New Roman" w:eastAsia="標楷體" w:hAnsi="Times New Roman" w:cs="Times New Roman"/>
          <w:szCs w:val="24"/>
        </w:rPr>
        <w:t xml:space="preserve">ourts hear cases concerning the rights of women and children. In the event an individual does not agree with the decision of the court of first instance, </w:t>
      </w:r>
      <w:r w:rsidR="00AA47C4">
        <w:rPr>
          <w:rFonts w:ascii="Times New Roman" w:eastAsia="標楷體" w:hAnsi="Times New Roman" w:cs="Times New Roman"/>
          <w:szCs w:val="24"/>
        </w:rPr>
        <w:t xml:space="preserve">he/she may </w:t>
      </w:r>
      <w:r w:rsidRPr="00885A57">
        <w:rPr>
          <w:rFonts w:ascii="Times New Roman" w:eastAsia="標楷體" w:hAnsi="Times New Roman" w:cs="Times New Roman"/>
          <w:szCs w:val="24"/>
        </w:rPr>
        <w:t xml:space="preserve">appeal to a higher court for judicial review under relevant statutory provisions. </w:t>
      </w:r>
      <w:r w:rsidR="00E115AC">
        <w:rPr>
          <w:rFonts w:ascii="Times New Roman" w:eastAsia="標楷體" w:hAnsi="Times New Roman" w:cs="Times New Roman"/>
          <w:szCs w:val="24"/>
        </w:rPr>
        <w:t>T</w:t>
      </w:r>
      <w:r w:rsidRPr="00885A57">
        <w:rPr>
          <w:rFonts w:ascii="Times New Roman" w:eastAsia="標楷體" w:hAnsi="Times New Roman" w:cs="Times New Roman"/>
          <w:szCs w:val="24"/>
        </w:rPr>
        <w:t xml:space="preserve">hose with doubts concerning the constitutionality of any act or final and binding decision of a court may file a petition with the </w:t>
      </w:r>
      <w:r w:rsidR="00E115AC">
        <w:rPr>
          <w:rFonts w:ascii="Times New Roman" w:eastAsia="標楷體" w:hAnsi="Times New Roman" w:cs="Times New Roman"/>
          <w:szCs w:val="24"/>
        </w:rPr>
        <w:t>C</w:t>
      </w:r>
      <w:r w:rsidRPr="00885A57">
        <w:rPr>
          <w:rFonts w:ascii="Times New Roman" w:eastAsia="標楷體" w:hAnsi="Times New Roman" w:cs="Times New Roman"/>
          <w:szCs w:val="24"/>
        </w:rPr>
        <w:t xml:space="preserve">onstitutional </w:t>
      </w:r>
      <w:r w:rsidR="00E115AC">
        <w:rPr>
          <w:rFonts w:ascii="Times New Roman" w:eastAsia="標楷體" w:hAnsi="Times New Roman" w:cs="Times New Roman"/>
          <w:szCs w:val="24"/>
        </w:rPr>
        <w:t>C</w:t>
      </w:r>
      <w:r w:rsidRPr="00885A57">
        <w:rPr>
          <w:rFonts w:ascii="Times New Roman" w:eastAsia="標楷體" w:hAnsi="Times New Roman" w:cs="Times New Roman"/>
          <w:szCs w:val="24"/>
        </w:rPr>
        <w:t xml:space="preserve">ourt </w:t>
      </w:r>
      <w:r w:rsidR="00E115AC">
        <w:rPr>
          <w:rFonts w:ascii="Times New Roman" w:eastAsia="標楷體" w:hAnsi="Times New Roman" w:cs="Times New Roman"/>
          <w:szCs w:val="24"/>
        </w:rPr>
        <w:t xml:space="preserve">seeking an </w:t>
      </w:r>
      <w:r w:rsidRPr="00885A57">
        <w:rPr>
          <w:rFonts w:ascii="Times New Roman" w:eastAsia="標楷體" w:hAnsi="Times New Roman" w:cs="Times New Roman"/>
          <w:szCs w:val="24"/>
        </w:rPr>
        <w:t>interpretation; such interpretations are binding on all government agencies and people in Taiwan</w:t>
      </w:r>
      <w:bookmarkEnd w:id="30"/>
      <w:r w:rsidRPr="00885A57">
        <w:rPr>
          <w:rFonts w:ascii="Times New Roman" w:eastAsia="標楷體" w:hAnsi="Times New Roman" w:cs="Times New Roman"/>
          <w:szCs w:val="24"/>
        </w:rPr>
        <w:t>.</w:t>
      </w:r>
      <w:r w:rsidRPr="00885A57">
        <w:rPr>
          <w:rStyle w:val="ab"/>
          <w:rFonts w:ascii="Times New Roman" w:eastAsia="標楷體" w:hAnsi="Times New Roman" w:cs="Times New Roman"/>
        </w:rPr>
        <w:footnoteReference w:id="18"/>
      </w:r>
    </w:p>
    <w:p w14:paraId="00BA7C50" w14:textId="2611B772" w:rsidR="00991769" w:rsidRPr="00885A57" w:rsidRDefault="00AD79AD" w:rsidP="00AC1256">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31" w:name="_Ref33523442"/>
      <w:r w:rsidRPr="00885A57">
        <w:rPr>
          <w:rFonts w:ascii="Times New Roman" w:eastAsia="標楷體" w:hAnsi="Times New Roman" w:cs="Times New Roman"/>
          <w:szCs w:val="24"/>
        </w:rPr>
        <w:lastRenderedPageBreak/>
        <w:t xml:space="preserve">In addition to the remedies stated under Article 16 of the </w:t>
      </w:r>
      <w:r w:rsidRPr="002153DE">
        <w:rPr>
          <w:rFonts w:ascii="Times New Roman" w:eastAsia="標楷體" w:hAnsi="Times New Roman" w:cs="Times New Roman"/>
          <w:iCs/>
          <w:szCs w:val="24"/>
        </w:rPr>
        <w:t>Constitution</w:t>
      </w:r>
      <w:r w:rsidRPr="00885A57">
        <w:rPr>
          <w:rFonts w:ascii="Times New Roman" w:eastAsia="標楷體" w:hAnsi="Times New Roman" w:cs="Times New Roman"/>
          <w:szCs w:val="24"/>
        </w:rPr>
        <w:t xml:space="preserve">, when people with disabilities have sought a legal remedy but </w:t>
      </w:r>
      <w:r w:rsidR="00DE6A4D">
        <w:rPr>
          <w:rFonts w:ascii="Times New Roman" w:eastAsia="標楷體" w:hAnsi="Times New Roman" w:cs="Times New Roman"/>
          <w:szCs w:val="24"/>
        </w:rPr>
        <w:t xml:space="preserve">are </w:t>
      </w:r>
      <w:r w:rsidRPr="00885A57">
        <w:rPr>
          <w:rFonts w:ascii="Times New Roman" w:eastAsia="標楷體" w:hAnsi="Times New Roman" w:cs="Times New Roman"/>
          <w:szCs w:val="24"/>
        </w:rPr>
        <w:t xml:space="preserve">denied relief, they </w:t>
      </w:r>
      <w:r w:rsidR="00DE6A4D">
        <w:rPr>
          <w:rFonts w:ascii="Times New Roman" w:eastAsia="標楷體" w:hAnsi="Times New Roman" w:cs="Times New Roman"/>
          <w:szCs w:val="24"/>
        </w:rPr>
        <w:t xml:space="preserve">may </w:t>
      </w:r>
      <w:r w:rsidRPr="00885A57">
        <w:rPr>
          <w:rFonts w:ascii="Times New Roman" w:eastAsia="標楷體" w:hAnsi="Times New Roman" w:cs="Times New Roman"/>
          <w:szCs w:val="24"/>
        </w:rPr>
        <w:t>make an appeal, file a claim</w:t>
      </w:r>
      <w:r w:rsidR="00DE6A4D">
        <w:rPr>
          <w:rFonts w:ascii="Times New Roman" w:eastAsia="標楷體" w:hAnsi="Times New Roman" w:cs="Times New Roman"/>
          <w:szCs w:val="24"/>
        </w:rPr>
        <w:t>,</w:t>
      </w:r>
      <w:r w:rsidRPr="00885A57">
        <w:rPr>
          <w:rFonts w:ascii="Times New Roman" w:eastAsia="標楷體" w:hAnsi="Times New Roman" w:cs="Times New Roman"/>
          <w:szCs w:val="24"/>
        </w:rPr>
        <w:t xml:space="preserve"> or </w:t>
      </w:r>
      <w:r w:rsidR="00E115AC">
        <w:rPr>
          <w:rFonts w:ascii="Times New Roman" w:eastAsia="標楷體" w:hAnsi="Times New Roman" w:cs="Times New Roman"/>
          <w:szCs w:val="24"/>
        </w:rPr>
        <w:t xml:space="preserve">otherwise </w:t>
      </w:r>
      <w:r w:rsidR="00DE6A4D">
        <w:rPr>
          <w:rFonts w:ascii="Times New Roman" w:eastAsia="標楷體" w:hAnsi="Times New Roman" w:cs="Times New Roman"/>
          <w:szCs w:val="24"/>
        </w:rPr>
        <w:t xml:space="preserve">petition </w:t>
      </w:r>
      <w:r w:rsidRPr="00885A57">
        <w:rPr>
          <w:rFonts w:ascii="Times New Roman" w:eastAsia="標楷體" w:hAnsi="Times New Roman" w:cs="Times New Roman"/>
          <w:szCs w:val="24"/>
        </w:rPr>
        <w:t xml:space="preserve">to protect their rights based on Article 8 of the </w:t>
      </w:r>
      <w:r w:rsidRPr="002153DE">
        <w:rPr>
          <w:rFonts w:ascii="Times New Roman" w:eastAsia="標楷體" w:hAnsi="Times New Roman" w:cs="Times New Roman"/>
          <w:iCs/>
          <w:szCs w:val="24"/>
        </w:rPr>
        <w:t>Act to Implement the Convention on the Rights of Persons with Disabilities</w:t>
      </w:r>
      <w:r w:rsidRPr="00885A57">
        <w:rPr>
          <w:rFonts w:ascii="Times New Roman" w:eastAsia="標楷體" w:hAnsi="Times New Roman" w:cs="Times New Roman"/>
          <w:szCs w:val="24"/>
        </w:rPr>
        <w:t xml:space="preserve">. The MOHW has </w:t>
      </w:r>
      <w:r w:rsidR="00DE6A4D">
        <w:rPr>
          <w:rFonts w:ascii="Times New Roman" w:eastAsia="標楷體" w:hAnsi="Times New Roman" w:cs="Times New Roman"/>
          <w:szCs w:val="24"/>
        </w:rPr>
        <w:t xml:space="preserve">entrusted </w:t>
      </w:r>
      <w:r w:rsidRPr="00885A57">
        <w:rPr>
          <w:rFonts w:ascii="Times New Roman" w:eastAsia="標楷體" w:hAnsi="Times New Roman" w:cs="Times New Roman"/>
          <w:szCs w:val="24"/>
        </w:rPr>
        <w:t xml:space="preserve">the Legal Aid Foundation with providing legal advice since September 2018 and representation </w:t>
      </w:r>
      <w:r w:rsidR="00DE6A4D">
        <w:rPr>
          <w:rFonts w:ascii="Times New Roman" w:eastAsia="標楷體" w:hAnsi="Times New Roman" w:cs="Times New Roman"/>
          <w:szCs w:val="24"/>
        </w:rPr>
        <w:t xml:space="preserve">services </w:t>
      </w:r>
      <w:r w:rsidRPr="00885A57">
        <w:rPr>
          <w:rFonts w:ascii="Times New Roman" w:eastAsia="標楷體" w:hAnsi="Times New Roman" w:cs="Times New Roman"/>
          <w:szCs w:val="24"/>
        </w:rPr>
        <w:t xml:space="preserve">since December 2019. As of June 2020, legal advice and representation have been provided in 7,343 and 77 cases, respectively. The Judicial Yuan regularly reviews performance reports of </w:t>
      </w:r>
      <w:r w:rsidR="00166190" w:rsidRPr="00885A57">
        <w:rPr>
          <w:rFonts w:ascii="Times New Roman" w:eastAsia="標楷體" w:hAnsi="Times New Roman" w:cs="Times New Roman"/>
          <w:szCs w:val="24"/>
        </w:rPr>
        <w:t>t</w:t>
      </w:r>
      <w:r w:rsidRPr="00885A57">
        <w:rPr>
          <w:rFonts w:ascii="Times New Roman" w:eastAsia="標楷體" w:hAnsi="Times New Roman" w:cs="Times New Roman"/>
          <w:szCs w:val="24"/>
        </w:rPr>
        <w:t xml:space="preserve">he Project of Legal Aid for </w:t>
      </w:r>
      <w:r w:rsidR="00DE6A4D">
        <w:rPr>
          <w:rFonts w:ascii="Times New Roman" w:eastAsia="標楷體" w:hAnsi="Times New Roman" w:cs="Times New Roman"/>
          <w:szCs w:val="24"/>
        </w:rPr>
        <w:t>P</w:t>
      </w:r>
      <w:r w:rsidR="00DE6A4D" w:rsidRPr="00885A57">
        <w:rPr>
          <w:rFonts w:ascii="Times New Roman" w:eastAsia="標楷體" w:hAnsi="Times New Roman" w:cs="Times New Roman"/>
          <w:szCs w:val="24"/>
        </w:rPr>
        <w:t xml:space="preserve">eople </w:t>
      </w:r>
      <w:r w:rsidRPr="00885A57">
        <w:rPr>
          <w:rFonts w:ascii="Times New Roman" w:eastAsia="標楷體" w:hAnsi="Times New Roman" w:cs="Times New Roman"/>
          <w:szCs w:val="24"/>
        </w:rPr>
        <w:t>with Disabilities submitted by the Legal Aid Foundation and requests improvements accordingly, thereby protecting the litigation rights of people with disabilities</w:t>
      </w:r>
      <w:bookmarkEnd w:id="31"/>
      <w:r w:rsidRPr="00885A57">
        <w:rPr>
          <w:rFonts w:ascii="Times New Roman" w:eastAsia="標楷體" w:hAnsi="Times New Roman" w:cs="Times New Roman"/>
          <w:szCs w:val="24"/>
        </w:rPr>
        <w:t>.</w:t>
      </w:r>
      <w:r w:rsidRPr="00885A57">
        <w:rPr>
          <w:rStyle w:val="ab"/>
          <w:rFonts w:ascii="Times New Roman" w:eastAsia="標楷體" w:hAnsi="Times New Roman" w:cs="Times New Roman"/>
        </w:rPr>
        <w:footnoteReference w:id="19"/>
      </w:r>
    </w:p>
    <w:p w14:paraId="75014F14" w14:textId="5C2657AA" w:rsidR="008918FA" w:rsidRPr="00885A57" w:rsidRDefault="00D7377D"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Pr>
          <w:rFonts w:ascii="Times New Roman" w:eastAsia="標楷體" w:hAnsi="Times New Roman" w:cs="Times New Roman"/>
          <w:szCs w:val="24"/>
        </w:rPr>
        <w:t xml:space="preserve">To help </w:t>
      </w:r>
      <w:r w:rsidR="00D6054B" w:rsidRPr="00885A57">
        <w:rPr>
          <w:rFonts w:ascii="Times New Roman" w:eastAsia="標楷體" w:hAnsi="Times New Roman" w:cs="Times New Roman"/>
          <w:szCs w:val="24"/>
        </w:rPr>
        <w:t xml:space="preserve">individuals subject to an order of commencement of guardianship and assistance accurately express their ideas during family </w:t>
      </w:r>
      <w:r>
        <w:rPr>
          <w:rFonts w:ascii="Times New Roman" w:eastAsia="標楷體" w:hAnsi="Times New Roman" w:cs="Times New Roman"/>
          <w:szCs w:val="24"/>
        </w:rPr>
        <w:t>court</w:t>
      </w:r>
      <w:r w:rsidRPr="00885A57">
        <w:rPr>
          <w:rFonts w:ascii="Times New Roman" w:eastAsia="標楷體" w:hAnsi="Times New Roman" w:cs="Times New Roman"/>
          <w:szCs w:val="24"/>
        </w:rPr>
        <w:t xml:space="preserve"> </w:t>
      </w:r>
      <w:r w:rsidR="00D6054B" w:rsidRPr="00885A57">
        <w:rPr>
          <w:rFonts w:ascii="Times New Roman" w:eastAsia="標楷體" w:hAnsi="Times New Roman" w:cs="Times New Roman"/>
          <w:szCs w:val="24"/>
        </w:rPr>
        <w:t xml:space="preserve">proceedings and mitigating their </w:t>
      </w:r>
      <w:r>
        <w:rPr>
          <w:rFonts w:ascii="Times New Roman" w:eastAsia="標楷體" w:hAnsi="Times New Roman" w:cs="Times New Roman"/>
          <w:szCs w:val="24"/>
        </w:rPr>
        <w:t>stress</w:t>
      </w:r>
      <w:r w:rsidR="00D6054B" w:rsidRPr="00885A57">
        <w:rPr>
          <w:rFonts w:ascii="Times New Roman" w:eastAsia="標楷體" w:hAnsi="Times New Roman" w:cs="Times New Roman"/>
          <w:szCs w:val="24"/>
        </w:rPr>
        <w:t xml:space="preserve">, Article 11 of the </w:t>
      </w:r>
      <w:r w:rsidR="00D6054B" w:rsidRPr="002153DE">
        <w:rPr>
          <w:rFonts w:ascii="Times New Roman" w:eastAsia="標楷體" w:hAnsi="Times New Roman" w:cs="Times New Roman"/>
          <w:iCs/>
          <w:szCs w:val="24"/>
        </w:rPr>
        <w:t>Family Act</w:t>
      </w:r>
      <w:r w:rsidR="00D6054B" w:rsidRPr="00885A57">
        <w:rPr>
          <w:rFonts w:ascii="Times New Roman" w:eastAsia="標楷體" w:hAnsi="Times New Roman" w:cs="Times New Roman"/>
          <w:szCs w:val="24"/>
        </w:rPr>
        <w:t xml:space="preserve"> provides that when a person subject to an order of commencement of guardianship or assistantship expresses their will or makes a statement, the court, when necessary, shall notify the competent authorities in the municipal or county (city) government(s) to appoint </w:t>
      </w:r>
      <w:r>
        <w:rPr>
          <w:rFonts w:ascii="Times New Roman" w:eastAsia="標楷體" w:hAnsi="Times New Roman" w:cs="Times New Roman"/>
          <w:szCs w:val="24"/>
        </w:rPr>
        <w:t xml:space="preserve">a </w:t>
      </w:r>
      <w:r w:rsidR="00D6054B" w:rsidRPr="00885A57">
        <w:rPr>
          <w:rFonts w:ascii="Times New Roman" w:eastAsia="標楷體" w:hAnsi="Times New Roman" w:cs="Times New Roman"/>
          <w:szCs w:val="24"/>
        </w:rPr>
        <w:t xml:space="preserve">social worker or other appropriate personnel to be present, </w:t>
      </w:r>
      <w:r w:rsidR="00D6054B" w:rsidRPr="00E115AC">
        <w:rPr>
          <w:rFonts w:ascii="Times New Roman" w:eastAsia="標楷體" w:hAnsi="Times New Roman" w:cs="Times New Roman"/>
          <w:szCs w:val="24"/>
        </w:rPr>
        <w:t xml:space="preserve">who shall be granted </w:t>
      </w:r>
      <w:r w:rsidRPr="00E115AC">
        <w:rPr>
          <w:rFonts w:ascii="Times New Roman" w:eastAsia="標楷體" w:hAnsi="Times New Roman" w:cs="Times New Roman"/>
          <w:szCs w:val="24"/>
        </w:rPr>
        <w:t xml:space="preserve">the opportunity </w:t>
      </w:r>
      <w:r w:rsidR="00D6054B" w:rsidRPr="00E115AC">
        <w:rPr>
          <w:rFonts w:ascii="Times New Roman" w:eastAsia="標楷體" w:hAnsi="Times New Roman" w:cs="Times New Roman"/>
          <w:szCs w:val="24"/>
        </w:rPr>
        <w:t>to be heard</w:t>
      </w:r>
      <w:r w:rsidR="00D6054B" w:rsidRPr="00885A57">
        <w:rPr>
          <w:rFonts w:ascii="Times New Roman" w:eastAsia="標楷體" w:hAnsi="Times New Roman" w:cs="Times New Roman"/>
          <w:szCs w:val="24"/>
        </w:rPr>
        <w:t xml:space="preserve">. </w:t>
      </w:r>
      <w:r w:rsidR="00E115AC">
        <w:rPr>
          <w:rFonts w:ascii="Times New Roman" w:eastAsia="標楷體" w:hAnsi="Times New Roman" w:cs="Times New Roman"/>
          <w:szCs w:val="24"/>
        </w:rPr>
        <w:t>S</w:t>
      </w:r>
      <w:r w:rsidR="00D6054B" w:rsidRPr="00885A57">
        <w:rPr>
          <w:rFonts w:ascii="Times New Roman" w:eastAsia="標楷體" w:hAnsi="Times New Roman" w:cs="Times New Roman"/>
          <w:szCs w:val="24"/>
        </w:rPr>
        <w:t xml:space="preserve">tatistics related to the rights and interests of people with disabilities, including records of </w:t>
      </w:r>
      <w:r>
        <w:rPr>
          <w:rFonts w:ascii="Times New Roman" w:eastAsia="標楷體" w:hAnsi="Times New Roman" w:cs="Times New Roman"/>
          <w:szCs w:val="24"/>
        </w:rPr>
        <w:t xml:space="preserve">the commencement of </w:t>
      </w:r>
      <w:r w:rsidR="00D6054B" w:rsidRPr="00885A57">
        <w:rPr>
          <w:rFonts w:ascii="Times New Roman" w:eastAsia="標楷體" w:hAnsi="Times New Roman" w:cs="Times New Roman"/>
          <w:szCs w:val="24"/>
        </w:rPr>
        <w:t xml:space="preserve">guardianship and assistantship, records of petitions filed based on the </w:t>
      </w:r>
      <w:r w:rsidR="00D6054B" w:rsidRPr="002153DE">
        <w:rPr>
          <w:rFonts w:ascii="Times New Roman" w:eastAsia="標楷體" w:hAnsi="Times New Roman" w:cs="Times New Roman"/>
          <w:iCs/>
          <w:szCs w:val="24"/>
        </w:rPr>
        <w:t>Mental Health Act</w:t>
      </w:r>
      <w:r w:rsidR="00D6054B" w:rsidRPr="00885A57">
        <w:rPr>
          <w:rFonts w:ascii="Times New Roman" w:eastAsia="標楷體" w:hAnsi="Times New Roman" w:cs="Times New Roman"/>
          <w:szCs w:val="24"/>
        </w:rPr>
        <w:t xml:space="preserve">, number </w:t>
      </w:r>
      <w:r w:rsidR="00D6054B" w:rsidRPr="00885A57">
        <w:rPr>
          <w:rFonts w:ascii="Times New Roman" w:eastAsia="標楷體" w:hAnsi="Times New Roman" w:cs="Times New Roman"/>
          <w:szCs w:val="24"/>
        </w:rPr>
        <w:lastRenderedPageBreak/>
        <w:t>of appearances during which people with disabilities were accompanied by social workers, and records of guardian ad litem designations, are detailed in attachment</w:t>
      </w:r>
      <w:r>
        <w:rPr>
          <w:rFonts w:ascii="Times New Roman" w:eastAsia="標楷體" w:hAnsi="Times New Roman" w:cs="Times New Roman"/>
          <w:szCs w:val="24"/>
        </w:rPr>
        <w:t>s</w:t>
      </w:r>
      <w:r w:rsidR="00D6054B" w:rsidRPr="00885A57">
        <w:rPr>
          <w:rFonts w:ascii="Times New Roman" w:eastAsia="標楷體" w:hAnsi="Times New Roman" w:cs="Times New Roman"/>
          <w:szCs w:val="24"/>
        </w:rPr>
        <w:t xml:space="preserve"> (Tables 5.3 and 5.4).</w:t>
      </w:r>
    </w:p>
    <w:p w14:paraId="333759FD" w14:textId="37EB3766" w:rsidR="004A13FB" w:rsidRPr="00885A57" w:rsidRDefault="00165346" w:rsidP="00AC1256">
      <w:pPr>
        <w:pStyle w:val="10"/>
        <w:spacing w:after="120" w:line="360" w:lineRule="auto"/>
        <w:rPr>
          <w:rFonts w:ascii="Times New Roman" w:hAnsi="Times New Roman"/>
        </w:rPr>
      </w:pPr>
      <w:bookmarkStart w:id="32" w:name="_Toc73108675"/>
      <w:r w:rsidRPr="00885A57">
        <w:rPr>
          <w:rFonts w:ascii="Times New Roman" w:hAnsi="Times New Roman"/>
        </w:rPr>
        <w:t>Article 6</w:t>
      </w:r>
      <w:bookmarkStart w:id="33" w:name="_Toc55900568"/>
      <w:r w:rsidR="00B645D5" w:rsidRPr="00885A57">
        <w:rPr>
          <w:rFonts w:ascii="Times New Roman" w:hAnsi="Times New Roman"/>
        </w:rPr>
        <w:t xml:space="preserve">: </w:t>
      </w:r>
      <w:r w:rsidRPr="00885A57">
        <w:rPr>
          <w:rFonts w:ascii="Times New Roman" w:hAnsi="Times New Roman"/>
        </w:rPr>
        <w:t>Women with disabilities</w:t>
      </w:r>
      <w:bookmarkEnd w:id="32"/>
      <w:r w:rsidR="00D6368C" w:rsidRPr="00885A57">
        <w:rPr>
          <w:rFonts w:ascii="Times New Roman" w:hAnsi="Times New Roman"/>
        </w:rPr>
        <w:tab/>
      </w:r>
      <w:r w:rsidR="00D6368C" w:rsidRPr="00885A57">
        <w:rPr>
          <w:rFonts w:ascii="Times New Roman" w:hAnsi="Times New Roman"/>
        </w:rPr>
        <w:tab/>
      </w:r>
      <w:bookmarkEnd w:id="33"/>
    </w:p>
    <w:p w14:paraId="7C88D405" w14:textId="0B2B114F" w:rsidR="00440214" w:rsidRPr="00885A57" w:rsidRDefault="00D6054B" w:rsidP="000365DE">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34" w:name="_Ref55903319"/>
      <w:r w:rsidRPr="00885A57">
        <w:rPr>
          <w:rFonts w:ascii="Times New Roman" w:eastAsia="標楷體" w:hAnsi="Times New Roman" w:cs="Times New Roman"/>
          <w:szCs w:val="24"/>
        </w:rPr>
        <w:t xml:space="preserve">The </w:t>
      </w:r>
      <w:r w:rsidRPr="002153DE">
        <w:rPr>
          <w:rFonts w:ascii="Times New Roman" w:eastAsia="標楷體" w:hAnsi="Times New Roman" w:cs="Times New Roman"/>
          <w:iCs/>
          <w:szCs w:val="24"/>
        </w:rPr>
        <w:t>Gender Equality Policy Guidelines</w:t>
      </w:r>
      <w:r w:rsidRPr="00885A57">
        <w:rPr>
          <w:rFonts w:ascii="Times New Roman" w:eastAsia="標楷體" w:hAnsi="Times New Roman" w:cs="Times New Roman"/>
          <w:szCs w:val="24"/>
        </w:rPr>
        <w:t xml:space="preserve"> in Taiwan focus on the rights of women with disabilities to go to school, apply for a job, seek medical care, and receive home care services as well as their right to juridical services </w:t>
      </w:r>
      <w:r w:rsidR="00D7377D">
        <w:rPr>
          <w:rFonts w:ascii="Times New Roman" w:eastAsia="標楷體" w:hAnsi="Times New Roman" w:cs="Times New Roman"/>
          <w:szCs w:val="24"/>
        </w:rPr>
        <w:t xml:space="preserve">after having been </w:t>
      </w:r>
      <w:r w:rsidRPr="00885A57">
        <w:rPr>
          <w:rFonts w:ascii="Times New Roman" w:eastAsia="標楷體" w:hAnsi="Times New Roman" w:cs="Times New Roman"/>
          <w:szCs w:val="24"/>
        </w:rPr>
        <w:t>subject</w:t>
      </w:r>
      <w:r w:rsidR="00D7377D">
        <w:rPr>
          <w:rFonts w:ascii="Times New Roman" w:eastAsia="標楷體" w:hAnsi="Times New Roman" w:cs="Times New Roman"/>
          <w:szCs w:val="24"/>
        </w:rPr>
        <w:t>ed</w:t>
      </w:r>
      <w:r w:rsidRPr="00885A57">
        <w:rPr>
          <w:rFonts w:ascii="Times New Roman" w:eastAsia="標楷體" w:hAnsi="Times New Roman" w:cs="Times New Roman"/>
          <w:szCs w:val="24"/>
        </w:rPr>
        <w:t xml:space="preserve"> to sexual abuse. To keep up with trends and respond to suggestions from </w:t>
      </w:r>
      <w:r w:rsidR="00D7377D">
        <w:rPr>
          <w:rFonts w:ascii="Times New Roman" w:eastAsia="標楷體" w:hAnsi="Times New Roman" w:cs="Times New Roman"/>
          <w:szCs w:val="24"/>
        </w:rPr>
        <w:t>persons from all walks of life</w:t>
      </w:r>
      <w:r w:rsidRPr="00885A57">
        <w:rPr>
          <w:rFonts w:ascii="Times New Roman" w:eastAsia="標楷體" w:hAnsi="Times New Roman" w:cs="Times New Roman"/>
          <w:szCs w:val="24"/>
        </w:rPr>
        <w:t xml:space="preserve">, the Executive Yuan is revising the </w:t>
      </w:r>
      <w:r w:rsidRPr="002153DE">
        <w:rPr>
          <w:rFonts w:ascii="Times New Roman" w:eastAsia="標楷體" w:hAnsi="Times New Roman" w:cs="Times New Roman"/>
          <w:iCs/>
          <w:szCs w:val="24"/>
        </w:rPr>
        <w:t>Gender Equality Policy Guidelines</w:t>
      </w:r>
      <w:r w:rsidRPr="00885A57">
        <w:rPr>
          <w:rFonts w:ascii="Times New Roman" w:eastAsia="標楷體" w:hAnsi="Times New Roman" w:cs="Times New Roman"/>
          <w:szCs w:val="24"/>
        </w:rPr>
        <w:t xml:space="preserve"> by </w:t>
      </w:r>
      <w:r w:rsidR="00E115AC">
        <w:rPr>
          <w:rFonts w:ascii="Times New Roman" w:eastAsia="標楷體" w:hAnsi="Times New Roman" w:cs="Times New Roman"/>
          <w:szCs w:val="24"/>
        </w:rPr>
        <w:t>combining</w:t>
      </w:r>
      <w:r w:rsidR="00E115AC"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them with the </w:t>
      </w:r>
      <w:r w:rsidRPr="002153DE">
        <w:rPr>
          <w:rFonts w:ascii="Times New Roman" w:eastAsia="標楷體" w:hAnsi="Times New Roman" w:cs="Times New Roman"/>
          <w:iCs/>
          <w:szCs w:val="24"/>
        </w:rPr>
        <w:t>Convention on the Elimination of All Forms of Discrimination Against Women</w:t>
      </w:r>
      <w:r w:rsidRPr="00885A57">
        <w:rPr>
          <w:rFonts w:ascii="Times New Roman" w:eastAsia="標楷體" w:hAnsi="Times New Roman" w:cs="Times New Roman"/>
          <w:szCs w:val="24"/>
        </w:rPr>
        <w:t xml:space="preserve"> (hereinafter referred to as CEDAW), </w:t>
      </w:r>
      <w:r w:rsidR="00D7377D">
        <w:rPr>
          <w:rFonts w:ascii="Times New Roman" w:eastAsia="標楷體" w:hAnsi="Times New Roman" w:cs="Times New Roman"/>
          <w:szCs w:val="24"/>
        </w:rPr>
        <w:t xml:space="preserve">the </w:t>
      </w:r>
      <w:r w:rsidR="00A535D0">
        <w:rPr>
          <w:rFonts w:ascii="Times New Roman" w:eastAsia="標楷體" w:hAnsi="Times New Roman" w:cs="Times New Roman"/>
          <w:szCs w:val="24"/>
        </w:rPr>
        <w:t xml:space="preserve">Concluding Observations and Recommendations of </w:t>
      </w:r>
      <w:r w:rsidR="00E115AC">
        <w:rPr>
          <w:rFonts w:ascii="Times New Roman" w:eastAsia="標楷體" w:hAnsi="Times New Roman" w:cs="Times New Roman"/>
          <w:szCs w:val="24"/>
        </w:rPr>
        <w:t xml:space="preserve">the </w:t>
      </w:r>
      <w:r w:rsidR="00A535D0">
        <w:rPr>
          <w:rFonts w:ascii="Times New Roman" w:eastAsia="標楷體" w:hAnsi="Times New Roman" w:cs="Times New Roman"/>
          <w:szCs w:val="24"/>
        </w:rPr>
        <w:t xml:space="preserve">Third Report on the </w:t>
      </w:r>
      <w:r w:rsidRPr="00885A57">
        <w:rPr>
          <w:rFonts w:ascii="Times New Roman" w:eastAsia="標楷體" w:hAnsi="Times New Roman" w:cs="Times New Roman"/>
          <w:szCs w:val="24"/>
        </w:rPr>
        <w:t xml:space="preserve">CEDAW, </w:t>
      </w:r>
      <w:r w:rsidR="00D7377D">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Concluding Observations of the Initial Report on the CRPD, and </w:t>
      </w:r>
      <w:r w:rsidR="00D7377D">
        <w:rPr>
          <w:rFonts w:ascii="Times New Roman" w:eastAsia="標楷體" w:hAnsi="Times New Roman" w:cs="Times New Roman"/>
          <w:szCs w:val="24"/>
        </w:rPr>
        <w:t xml:space="preserve">also </w:t>
      </w:r>
      <w:r w:rsidRPr="00885A57">
        <w:rPr>
          <w:rFonts w:ascii="Times New Roman" w:eastAsia="標楷體" w:hAnsi="Times New Roman" w:cs="Times New Roman"/>
          <w:szCs w:val="24"/>
        </w:rPr>
        <w:t xml:space="preserve">Sustainable Development Goal 5: </w:t>
      </w:r>
      <w:r w:rsidR="00D7377D">
        <w:rPr>
          <w:rFonts w:ascii="Times New Roman" w:eastAsia="標楷體" w:hAnsi="Times New Roman" w:cs="Times New Roman"/>
          <w:szCs w:val="24"/>
        </w:rPr>
        <w:t>a</w:t>
      </w:r>
      <w:r w:rsidRPr="00885A57">
        <w:rPr>
          <w:rFonts w:ascii="Times New Roman" w:eastAsia="標楷體" w:hAnsi="Times New Roman" w:cs="Times New Roman"/>
          <w:szCs w:val="24"/>
        </w:rPr>
        <w:t xml:space="preserve">chieve gender equality and empower all women and girls. In particular, the Executive Yuan aims to expand the protection of underprivileged groups’ rights (i.e., indigenous peoples, new </w:t>
      </w:r>
      <w:r w:rsidR="00D830AC">
        <w:rPr>
          <w:rFonts w:ascii="Times New Roman" w:eastAsia="標楷體" w:hAnsi="Times New Roman" w:cs="Times New Roman"/>
          <w:szCs w:val="24"/>
        </w:rPr>
        <w:t>immigrants, minors, the elderly</w:t>
      </w:r>
      <w:r w:rsidRPr="00885A57">
        <w:rPr>
          <w:rFonts w:ascii="Times New Roman" w:eastAsia="標楷體" w:hAnsi="Times New Roman" w:cs="Times New Roman"/>
          <w:szCs w:val="24"/>
        </w:rPr>
        <w:t xml:space="preserve">, people with disabilities, women living in rural or remote </w:t>
      </w:r>
      <w:r w:rsidR="00D74871" w:rsidRPr="00885A57">
        <w:rPr>
          <w:rFonts w:ascii="Times New Roman" w:eastAsia="標楷體" w:hAnsi="Times New Roman" w:cs="Times New Roman"/>
          <w:szCs w:val="24"/>
        </w:rPr>
        <w:t>area</w:t>
      </w:r>
      <w:r w:rsidRPr="00885A57">
        <w:rPr>
          <w:rFonts w:ascii="Times New Roman" w:eastAsia="標楷體" w:hAnsi="Times New Roman" w:cs="Times New Roman"/>
          <w:szCs w:val="24"/>
        </w:rPr>
        <w:t>s, and sexually diverse populations) to respond to social changes and international trends</w:t>
      </w:r>
      <w:bookmarkEnd w:id="34"/>
      <w:r w:rsidRPr="00885A57">
        <w:rPr>
          <w:rFonts w:ascii="Times New Roman" w:eastAsia="標楷體" w:hAnsi="Times New Roman" w:cs="Times New Roman"/>
          <w:szCs w:val="24"/>
        </w:rPr>
        <w:t>.</w:t>
      </w:r>
      <w:r w:rsidRPr="00885A57">
        <w:rPr>
          <w:rStyle w:val="ab"/>
          <w:rFonts w:ascii="Times New Roman" w:eastAsia="標楷體" w:hAnsi="Times New Roman" w:cs="Times New Roman"/>
        </w:rPr>
        <w:footnoteReference w:id="20"/>
      </w:r>
    </w:p>
    <w:p w14:paraId="283AACA5" w14:textId="65AAF056" w:rsidR="00782807" w:rsidRPr="00885A57" w:rsidRDefault="000040DF" w:rsidP="001A2139">
      <w:pPr>
        <w:pStyle w:val="a7"/>
        <w:numPr>
          <w:ilvl w:val="0"/>
          <w:numId w:val="6"/>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Personal safety</w:t>
      </w:r>
    </w:p>
    <w:p w14:paraId="419CF7C9" w14:textId="2CAA3857" w:rsidR="00916EA5" w:rsidRPr="00885A57" w:rsidRDefault="00296490" w:rsidP="000365DE">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bCs/>
          <w:szCs w:val="24"/>
        </w:rPr>
        <w:t xml:space="preserve">Local governments have established emergency service centers </w:t>
      </w:r>
      <w:r w:rsidR="00D7377D">
        <w:rPr>
          <w:rFonts w:ascii="Times New Roman" w:eastAsia="標楷體" w:hAnsi="Times New Roman" w:cs="Times New Roman"/>
          <w:bCs/>
          <w:szCs w:val="24"/>
        </w:rPr>
        <w:t xml:space="preserve">that are always </w:t>
      </w:r>
      <w:r w:rsidR="00D7377D">
        <w:rPr>
          <w:rFonts w:ascii="Times New Roman" w:eastAsia="標楷體" w:hAnsi="Times New Roman" w:cs="Times New Roman"/>
          <w:bCs/>
          <w:szCs w:val="24"/>
        </w:rPr>
        <w:lastRenderedPageBreak/>
        <w:t xml:space="preserve">open as </w:t>
      </w:r>
      <w:r w:rsidRPr="00885A57">
        <w:rPr>
          <w:rFonts w:ascii="Times New Roman" w:eastAsia="標楷體" w:hAnsi="Times New Roman" w:cs="Times New Roman"/>
          <w:bCs/>
          <w:szCs w:val="24"/>
        </w:rPr>
        <w:t>emergency shelter</w:t>
      </w:r>
      <w:r w:rsidR="00D7377D">
        <w:rPr>
          <w:rFonts w:ascii="Times New Roman" w:eastAsia="標楷體" w:hAnsi="Times New Roman" w:cs="Times New Roman"/>
          <w:bCs/>
          <w:szCs w:val="24"/>
        </w:rPr>
        <w:t>s</w:t>
      </w:r>
      <w:r w:rsidRPr="00885A57">
        <w:rPr>
          <w:rFonts w:ascii="Times New Roman" w:eastAsia="標楷體" w:hAnsi="Times New Roman" w:cs="Times New Roman"/>
          <w:bCs/>
          <w:szCs w:val="24"/>
        </w:rPr>
        <w:t xml:space="preserve"> for women with disabilities who experience abuse. The centers, depending on individual needs, provide services such as r</w:t>
      </w:r>
      <w:r w:rsidR="000D5080">
        <w:rPr>
          <w:rFonts w:ascii="Times New Roman" w:eastAsia="標楷體" w:hAnsi="Times New Roman" w:cs="Times New Roman"/>
          <w:bCs/>
          <w:szCs w:val="24"/>
        </w:rPr>
        <w:t>ental of assistive technologies</w:t>
      </w:r>
      <w:r w:rsidRPr="00885A57">
        <w:rPr>
          <w:rFonts w:ascii="Times New Roman" w:eastAsia="標楷體" w:hAnsi="Times New Roman" w:cs="Times New Roman"/>
          <w:bCs/>
          <w:szCs w:val="24"/>
        </w:rPr>
        <w:t xml:space="preserve">, interpretation, medical care accompaniment, and legal aid. Through their connections with relevant welfare resources, the centers can refer those lacking </w:t>
      </w:r>
      <w:r w:rsidR="00D7377D">
        <w:rPr>
          <w:rFonts w:ascii="Times New Roman" w:eastAsia="標楷體" w:hAnsi="Times New Roman" w:cs="Times New Roman"/>
          <w:bCs/>
          <w:szCs w:val="24"/>
        </w:rPr>
        <w:t xml:space="preserve">the ability to care for themselves </w:t>
      </w:r>
      <w:r w:rsidRPr="00885A57">
        <w:rPr>
          <w:rFonts w:ascii="Times New Roman" w:eastAsia="標楷體" w:hAnsi="Times New Roman" w:cs="Times New Roman"/>
          <w:bCs/>
          <w:szCs w:val="24"/>
        </w:rPr>
        <w:t>to disabled welfare institutions for further placement.</w:t>
      </w:r>
    </w:p>
    <w:p w14:paraId="0797EE9A" w14:textId="0BB41D92" w:rsidR="00782807" w:rsidRPr="00885A57" w:rsidRDefault="00296490"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bCs/>
          <w:szCs w:val="24"/>
        </w:rPr>
        <w:t>At present, 37 shelters have been established to provide emergency short-</w:t>
      </w:r>
      <w:r w:rsidR="00D7377D">
        <w:rPr>
          <w:rFonts w:ascii="Times New Roman" w:eastAsia="標楷體" w:hAnsi="Times New Roman" w:cs="Times New Roman"/>
          <w:bCs/>
          <w:szCs w:val="24"/>
        </w:rPr>
        <w:t>,</w:t>
      </w:r>
      <w:r w:rsidRPr="00885A57">
        <w:rPr>
          <w:rFonts w:ascii="Times New Roman" w:eastAsia="標楷體" w:hAnsi="Times New Roman" w:cs="Times New Roman"/>
          <w:bCs/>
          <w:szCs w:val="24"/>
        </w:rPr>
        <w:t xml:space="preserve"> medium-</w:t>
      </w:r>
      <w:r w:rsidR="00D7377D">
        <w:rPr>
          <w:rFonts w:ascii="Times New Roman" w:eastAsia="標楷體" w:hAnsi="Times New Roman" w:cs="Times New Roman"/>
          <w:bCs/>
          <w:szCs w:val="24"/>
        </w:rPr>
        <w:t>,</w:t>
      </w:r>
      <w:r w:rsidRPr="00885A57">
        <w:rPr>
          <w:rFonts w:ascii="Times New Roman" w:eastAsia="標楷體" w:hAnsi="Times New Roman" w:cs="Times New Roman"/>
          <w:bCs/>
          <w:szCs w:val="24"/>
        </w:rPr>
        <w:t xml:space="preserve"> and long-term sheltering services for female victims of domestic abuse of all ages and disabilities. In 2019, all shelters admitted 108 women with disabilities, accounting for 8.2</w:t>
      </w:r>
      <w:r w:rsidR="00787A2A">
        <w:rPr>
          <w:rFonts w:ascii="Times New Roman" w:eastAsia="標楷體" w:hAnsi="Times New Roman" w:cs="Times New Roman"/>
          <w:bCs/>
          <w:szCs w:val="24"/>
        </w:rPr>
        <w:t xml:space="preserve"> percent</w:t>
      </w:r>
      <w:r w:rsidRPr="00885A57">
        <w:rPr>
          <w:rFonts w:ascii="Times New Roman" w:eastAsia="標楷體" w:hAnsi="Times New Roman" w:cs="Times New Roman"/>
          <w:bCs/>
          <w:szCs w:val="24"/>
        </w:rPr>
        <w:t xml:space="preserve"> of all shelter residents.</w:t>
      </w:r>
    </w:p>
    <w:p w14:paraId="6AA939F9" w14:textId="64862C73" w:rsidR="00416539" w:rsidRPr="00885A57" w:rsidRDefault="00296490" w:rsidP="001A2139">
      <w:pPr>
        <w:pStyle w:val="a7"/>
        <w:numPr>
          <w:ilvl w:val="0"/>
          <w:numId w:val="6"/>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Right to education</w:t>
      </w:r>
    </w:p>
    <w:p w14:paraId="15F12A57" w14:textId="2774D1B0" w:rsidR="00DF248E" w:rsidRPr="00885A57" w:rsidRDefault="00296490" w:rsidP="000365DE">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Taiwan has enacted the </w:t>
      </w:r>
      <w:r w:rsidRPr="002153DE">
        <w:rPr>
          <w:rFonts w:ascii="Times New Roman" w:eastAsia="標楷體" w:hAnsi="Times New Roman" w:cs="Times New Roman"/>
          <w:iCs/>
          <w:szCs w:val="24"/>
        </w:rPr>
        <w:t>Compulsory Education Act</w:t>
      </w:r>
      <w:r w:rsidRPr="00885A57">
        <w:rPr>
          <w:rFonts w:ascii="Times New Roman" w:eastAsia="標楷體" w:hAnsi="Times New Roman" w:cs="Times New Roman"/>
          <w:szCs w:val="24"/>
        </w:rPr>
        <w:t xml:space="preserve">, </w:t>
      </w:r>
      <w:r w:rsidR="00D7377D">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SEA, </w:t>
      </w:r>
      <w:r w:rsidRPr="002153DE">
        <w:rPr>
          <w:rFonts w:ascii="Times New Roman" w:eastAsia="標楷體" w:hAnsi="Times New Roman" w:cs="Times New Roman"/>
          <w:iCs/>
          <w:szCs w:val="24"/>
        </w:rPr>
        <w:t xml:space="preserve">and </w:t>
      </w:r>
      <w:r w:rsidR="00D7377D">
        <w:rPr>
          <w:rFonts w:ascii="Times New Roman" w:eastAsia="標楷體" w:hAnsi="Times New Roman" w:cs="Times New Roman"/>
          <w:iCs/>
          <w:szCs w:val="24"/>
        </w:rPr>
        <w:t xml:space="preserve">the </w:t>
      </w:r>
      <w:r w:rsidRPr="002153DE">
        <w:rPr>
          <w:rFonts w:ascii="Times New Roman" w:eastAsia="標楷體" w:hAnsi="Times New Roman" w:cs="Times New Roman"/>
          <w:iCs/>
          <w:szCs w:val="24"/>
        </w:rPr>
        <w:t xml:space="preserve">Gender Equity Education Act </w:t>
      </w:r>
      <w:r w:rsidRPr="00885A57">
        <w:rPr>
          <w:rFonts w:ascii="Times New Roman" w:eastAsia="標楷體" w:hAnsi="Times New Roman" w:cs="Times New Roman"/>
          <w:szCs w:val="24"/>
        </w:rPr>
        <w:t>to protect the right to education for women with disabilities to prevent them from being refused admission to school because of their gender or disability.</w:t>
      </w:r>
    </w:p>
    <w:p w14:paraId="1ED214C5" w14:textId="5E0111D5" w:rsidR="005F22AB" w:rsidRPr="00885A57" w:rsidRDefault="00296490" w:rsidP="000365DE">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35" w:name="_Ref46131854"/>
      <w:r w:rsidRPr="00885A57">
        <w:rPr>
          <w:rFonts w:ascii="Times New Roman" w:eastAsia="標楷體" w:hAnsi="Times New Roman" w:cs="Times New Roman"/>
          <w:szCs w:val="24"/>
        </w:rPr>
        <w:t xml:space="preserve">Special education is provided for any student with </w:t>
      </w:r>
      <w:r w:rsidR="00D7377D">
        <w:rPr>
          <w:rFonts w:ascii="Times New Roman" w:eastAsia="標楷體" w:hAnsi="Times New Roman" w:cs="Times New Roman"/>
          <w:szCs w:val="24"/>
        </w:rPr>
        <w:t>a disability</w:t>
      </w:r>
      <w:r w:rsidRPr="00885A57">
        <w:rPr>
          <w:rStyle w:val="ab"/>
          <w:rFonts w:ascii="Times New Roman" w:eastAsia="標楷體" w:hAnsi="Times New Roman" w:cs="Times New Roman"/>
        </w:rPr>
        <w:footnoteReference w:id="21"/>
      </w:r>
      <w:r w:rsidRPr="00885A57">
        <w:rPr>
          <w:rFonts w:ascii="Times New Roman" w:eastAsia="標楷體" w:hAnsi="Times New Roman" w:cs="Times New Roman"/>
          <w:szCs w:val="24"/>
        </w:rPr>
        <w:t xml:space="preserve"> regardless of gender who is assessed and identified as having special needs in learning per the SEA, offering them </w:t>
      </w:r>
      <w:r w:rsidR="00D7377D">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equal opportunity to education. All students, regardless of gender, must receive compulsory education (elementary and junior high levels); according to special education statistics, the </w:t>
      </w:r>
      <w:r w:rsidR="004C00AC" w:rsidRPr="00885A57">
        <w:rPr>
          <w:rFonts w:ascii="Times New Roman" w:eastAsia="標楷體" w:hAnsi="Times New Roman" w:cs="Times New Roman"/>
          <w:szCs w:val="24"/>
        </w:rPr>
        <w:t>male</w:t>
      </w:r>
      <w:r w:rsidR="00E115AC">
        <w:rPr>
          <w:rFonts w:ascii="Times New Roman" w:eastAsia="標楷體" w:hAnsi="Times New Roman" w:cs="Times New Roman"/>
          <w:szCs w:val="24"/>
        </w:rPr>
        <w:t xml:space="preserve"> to </w:t>
      </w:r>
      <w:r w:rsidR="004C00AC" w:rsidRPr="00885A57">
        <w:rPr>
          <w:rFonts w:ascii="Times New Roman" w:eastAsia="標楷體" w:hAnsi="Times New Roman" w:cs="Times New Roman"/>
          <w:szCs w:val="24"/>
        </w:rPr>
        <w:t>female</w:t>
      </w:r>
      <w:r w:rsidRPr="00885A57">
        <w:rPr>
          <w:rFonts w:ascii="Times New Roman" w:eastAsia="標楷體" w:hAnsi="Times New Roman" w:cs="Times New Roman"/>
          <w:szCs w:val="24"/>
        </w:rPr>
        <w:t xml:space="preserve"> ratio among students with disabilities is approximately 7:3 (Table 6.1). In senior high school, </w:t>
      </w:r>
      <w:r w:rsidRPr="00885A57">
        <w:rPr>
          <w:rFonts w:ascii="Times New Roman" w:eastAsia="標楷體" w:hAnsi="Times New Roman" w:cs="Times New Roman"/>
          <w:szCs w:val="24"/>
        </w:rPr>
        <w:lastRenderedPageBreak/>
        <w:t>the dropout rate is slightly lower among female students with disabilities compared to their male counterparts. In higher education institutions, the percentage differences in suspension and dropout rates between males and females are both lower than 1</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For data on school admissions, dropouts, and suspensions in children with disabilities, please refer to</w:t>
      </w:r>
      <w:r w:rsidR="000D5080">
        <w:rPr>
          <w:rFonts w:ascii="Times New Roman" w:eastAsia="標楷體" w:hAnsi="Times New Roman" w:cs="Times New Roman"/>
          <w:szCs w:val="24"/>
        </w:rPr>
        <w:t xml:space="preserve"> </w:t>
      </w:r>
      <w:r w:rsidR="000D5080" w:rsidRPr="00E115AC">
        <w:rPr>
          <w:rFonts w:ascii="Times New Roman" w:eastAsia="標楷體" w:hAnsi="Times New Roman" w:cs="Times New Roman"/>
          <w:szCs w:val="24"/>
        </w:rPr>
        <w:t>Article 24</w:t>
      </w:r>
      <w:r w:rsidR="00931A86" w:rsidRPr="00F370E0">
        <w:rPr>
          <w:rFonts w:ascii="Times New Roman" w:eastAsia="標楷體" w:hAnsi="Times New Roman" w:cs="Times New Roman"/>
          <w:szCs w:val="24"/>
        </w:rPr>
        <w:t xml:space="preserve">: </w:t>
      </w:r>
      <w:r w:rsidRPr="00E115AC">
        <w:rPr>
          <w:rFonts w:ascii="Times New Roman" w:eastAsia="標楷體" w:hAnsi="Times New Roman" w:cs="Times New Roman"/>
          <w:szCs w:val="24"/>
        </w:rPr>
        <w:t>Education (</w:t>
      </w:r>
      <w:r w:rsidR="006F1055">
        <w:rPr>
          <w:rFonts w:ascii="Times New Roman" w:eastAsia="標楷體" w:hAnsi="Times New Roman" w:cs="Times New Roman"/>
          <w:szCs w:val="24"/>
        </w:rPr>
        <w:t>Point</w:t>
      </w:r>
      <w:r w:rsidR="00E115AC" w:rsidRPr="00E115AC">
        <w:rPr>
          <w:rFonts w:ascii="Times New Roman" w:eastAsia="標楷體" w:hAnsi="Times New Roman" w:cs="Times New Roman"/>
          <w:szCs w:val="24"/>
        </w:rPr>
        <w:t xml:space="preserve"> </w:t>
      </w:r>
      <w:r w:rsidR="002B7CFB" w:rsidRPr="00E115AC">
        <w:rPr>
          <w:rFonts w:ascii="Times New Roman" w:eastAsia="標楷體" w:hAnsi="Times New Roman" w:cs="Times New Roman"/>
          <w:szCs w:val="24"/>
        </w:rPr>
        <w:t>200</w:t>
      </w:r>
      <w:r w:rsidRPr="00E115AC">
        <w:rPr>
          <w:rFonts w:ascii="Times New Roman" w:eastAsia="標楷體" w:hAnsi="Times New Roman" w:cs="Times New Roman"/>
          <w:szCs w:val="24"/>
        </w:rPr>
        <w:t>)</w:t>
      </w:r>
      <w:bookmarkEnd w:id="35"/>
      <w:r w:rsidR="00D7377D" w:rsidRPr="00E115AC">
        <w:rPr>
          <w:rFonts w:ascii="Times New Roman" w:eastAsia="標楷體" w:hAnsi="Times New Roman" w:cs="Times New Roman"/>
          <w:szCs w:val="24"/>
        </w:rPr>
        <w:t>.</w:t>
      </w:r>
    </w:p>
    <w:p w14:paraId="76EF90E3" w14:textId="1C81AE3B" w:rsidR="00510A92" w:rsidRPr="00885A57" w:rsidRDefault="001C387D" w:rsidP="000365DE">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36" w:name="_Ref55903346"/>
      <w:r w:rsidRPr="00885A57">
        <w:rPr>
          <w:rFonts w:ascii="Times New Roman" w:eastAsia="標楷體" w:hAnsi="Times New Roman" w:cs="Times New Roman"/>
          <w:szCs w:val="24"/>
        </w:rPr>
        <w:t xml:space="preserve">Regarding </w:t>
      </w:r>
      <w:r w:rsidR="0037269E">
        <w:rPr>
          <w:rFonts w:ascii="Times New Roman" w:eastAsia="標楷體" w:hAnsi="Times New Roman" w:cs="Times New Roman"/>
          <w:szCs w:val="24"/>
        </w:rPr>
        <w:t>affirmative action</w:t>
      </w:r>
      <w:r w:rsidRPr="00885A57">
        <w:rPr>
          <w:rFonts w:ascii="Times New Roman" w:eastAsia="標楷體" w:hAnsi="Times New Roman" w:cs="Times New Roman"/>
          <w:szCs w:val="24"/>
        </w:rPr>
        <w:t xml:space="preserve"> for women with disabilities, </w:t>
      </w:r>
      <w:r w:rsidR="00E115AC">
        <w:rPr>
          <w:rFonts w:ascii="Times New Roman" w:eastAsia="標楷體" w:hAnsi="Times New Roman" w:cs="Times New Roman"/>
          <w:szCs w:val="24"/>
        </w:rPr>
        <w:t xml:space="preserve">a </w:t>
      </w:r>
      <w:r w:rsidRPr="00885A57">
        <w:rPr>
          <w:rFonts w:ascii="Times New Roman" w:eastAsia="標楷體" w:hAnsi="Times New Roman" w:cs="Times New Roman"/>
          <w:szCs w:val="24"/>
        </w:rPr>
        <w:t xml:space="preserve">subsidy item </w:t>
      </w:r>
      <w:r w:rsidR="00E115AC">
        <w:rPr>
          <w:rFonts w:ascii="Times New Roman" w:eastAsia="標楷體" w:hAnsi="Times New Roman" w:cs="Times New Roman"/>
          <w:szCs w:val="24"/>
        </w:rPr>
        <w:t xml:space="preserve">about care beds </w:t>
      </w:r>
      <w:r w:rsidRPr="00885A57">
        <w:rPr>
          <w:rFonts w:ascii="Times New Roman" w:eastAsia="標楷體" w:hAnsi="Times New Roman" w:cs="Times New Roman"/>
          <w:szCs w:val="24"/>
        </w:rPr>
        <w:t>was added to the Application Procedures for Subsidies to Improve Accessibility of Campus Environments in 2019</w:t>
      </w:r>
      <w:r w:rsidR="00E115AC">
        <w:rPr>
          <w:rFonts w:ascii="Times New Roman" w:eastAsia="標楷體" w:hAnsi="Times New Roman" w:cs="Times New Roman"/>
          <w:szCs w:val="24"/>
        </w:rPr>
        <w:t xml:space="preserve">. This prioritizes </w:t>
      </w:r>
      <w:r w:rsidRPr="00885A57">
        <w:rPr>
          <w:rFonts w:ascii="Times New Roman" w:eastAsia="標楷體" w:hAnsi="Times New Roman" w:cs="Times New Roman"/>
          <w:szCs w:val="24"/>
        </w:rPr>
        <w:t xml:space="preserve">disbursement of subsidies to schools admitting women with physical disabilities and </w:t>
      </w:r>
      <w:r w:rsidR="00E115AC" w:rsidRPr="00885A57">
        <w:rPr>
          <w:rFonts w:ascii="Times New Roman" w:eastAsia="標楷體" w:hAnsi="Times New Roman" w:cs="Times New Roman"/>
          <w:szCs w:val="24"/>
        </w:rPr>
        <w:t>increas</w:t>
      </w:r>
      <w:r w:rsidR="00E115AC">
        <w:rPr>
          <w:rFonts w:ascii="Times New Roman" w:eastAsia="標楷體" w:hAnsi="Times New Roman" w:cs="Times New Roman"/>
          <w:szCs w:val="24"/>
        </w:rPr>
        <w:t>es</w:t>
      </w:r>
      <w:r w:rsidR="00E115AC"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women’s mobility when engaging in school activities.</w:t>
      </w:r>
      <w:bookmarkEnd w:id="36"/>
      <w:r w:rsidRPr="00885A57">
        <w:rPr>
          <w:rStyle w:val="ab"/>
          <w:rFonts w:ascii="Times New Roman" w:eastAsia="標楷體" w:hAnsi="Times New Roman" w:cs="Times New Roman"/>
        </w:rPr>
        <w:footnoteReference w:id="22"/>
      </w:r>
      <w:r w:rsidR="00510A92" w:rsidRPr="00885A57">
        <w:rPr>
          <w:rFonts w:ascii="Times New Roman" w:eastAsia="標楷體" w:hAnsi="Times New Roman" w:cs="Times New Roman"/>
          <w:szCs w:val="28"/>
        </w:rPr>
        <w:t xml:space="preserve"> </w:t>
      </w:r>
    </w:p>
    <w:p w14:paraId="248E7DA1" w14:textId="72862802" w:rsidR="002552CB" w:rsidRPr="00885A57" w:rsidRDefault="001C387D" w:rsidP="000365DE">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To encourage participation in sports activities by women with disabilities, the MOE offers opportunities for sports participation by encouraging non</w:t>
      </w:r>
      <w:r w:rsidR="003E6F92">
        <w:rPr>
          <w:rFonts w:ascii="Times New Roman" w:eastAsia="標楷體" w:hAnsi="Times New Roman" w:cs="Times New Roman"/>
          <w:szCs w:val="24"/>
        </w:rPr>
        <w:t>government</w:t>
      </w:r>
      <w:r w:rsidR="00931A86">
        <w:rPr>
          <w:rFonts w:ascii="Times New Roman" w:eastAsia="標楷體" w:hAnsi="Times New Roman" w:cs="Times New Roman"/>
          <w:szCs w:val="24"/>
        </w:rPr>
        <w:t>al</w:t>
      </w:r>
      <w:r w:rsidRPr="00885A57">
        <w:rPr>
          <w:rFonts w:ascii="Times New Roman" w:eastAsia="標楷體" w:hAnsi="Times New Roman" w:cs="Times New Roman"/>
          <w:szCs w:val="24"/>
        </w:rPr>
        <w:t xml:space="preserve"> organizations (NGOs) to host sports events for people with disabilities. Between 2016 and 2019, the number of participants was 70,314, among whom 34,691 were female (approximately 50</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total participants; Table 6.2). The 10th Review Committee of Awards for Outstanding Athletes with Disabilities and Their Accomplished Coaches recruited </w:t>
      </w:r>
      <w:r w:rsidR="007F17AB">
        <w:rPr>
          <w:rFonts w:ascii="Times New Roman" w:eastAsia="標楷體" w:hAnsi="Times New Roman" w:cs="Times New Roman" w:hint="eastAsia"/>
          <w:szCs w:val="24"/>
        </w:rPr>
        <w:t xml:space="preserve">an additional </w:t>
      </w:r>
      <w:r w:rsidRPr="00885A57">
        <w:rPr>
          <w:rFonts w:ascii="Times New Roman" w:eastAsia="標楷體" w:hAnsi="Times New Roman" w:cs="Times New Roman"/>
          <w:szCs w:val="24"/>
        </w:rPr>
        <w:t xml:space="preserve">female member with </w:t>
      </w:r>
      <w:r w:rsidR="007F17AB">
        <w:rPr>
          <w:rFonts w:ascii="Times New Roman" w:eastAsia="標楷體" w:hAnsi="Times New Roman" w:cs="Times New Roman"/>
          <w:szCs w:val="24"/>
        </w:rPr>
        <w:t>a disability</w:t>
      </w:r>
      <w:r w:rsidR="007F17AB"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in 2019.</w:t>
      </w:r>
    </w:p>
    <w:p w14:paraId="09765492" w14:textId="05F79B1F" w:rsidR="00782807" w:rsidRPr="00885A57" w:rsidRDefault="001C387D" w:rsidP="001A2139">
      <w:pPr>
        <w:pStyle w:val="a7"/>
        <w:numPr>
          <w:ilvl w:val="0"/>
          <w:numId w:val="6"/>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Right to work and employment</w:t>
      </w:r>
    </w:p>
    <w:p w14:paraId="0E9A115F" w14:textId="0EE96165" w:rsidR="00F040BB" w:rsidRPr="00885A57" w:rsidRDefault="004B7217" w:rsidP="000365DE">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According to a 2019 survey conducted by the MOL, the labor force participation </w:t>
      </w:r>
      <w:r w:rsidRPr="00885A57">
        <w:rPr>
          <w:rFonts w:ascii="Times New Roman" w:eastAsia="標楷體" w:hAnsi="Times New Roman" w:cs="Times New Roman"/>
          <w:szCs w:val="24"/>
        </w:rPr>
        <w:lastRenderedPageBreak/>
        <w:t>rate and unemployment rate in women over 15 years old with disabilities were 14.7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and 8.1</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respectively. Compared with data in the 2016 survey conducted by the MOHW, the labor force participation rate increased by 0.6</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whereas the unemployment rate decreased by 0.4</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w:t>
      </w:r>
      <w:r w:rsidR="00E115AC">
        <w:rPr>
          <w:rFonts w:ascii="Times New Roman" w:eastAsia="標楷體" w:hAnsi="Times New Roman" w:cs="Times New Roman"/>
          <w:szCs w:val="24"/>
        </w:rPr>
        <w:t xml:space="preserve">for </w:t>
      </w:r>
      <w:r w:rsidRPr="00885A57">
        <w:rPr>
          <w:rFonts w:ascii="Times New Roman" w:eastAsia="標楷體" w:hAnsi="Times New Roman" w:cs="Times New Roman"/>
          <w:szCs w:val="24"/>
        </w:rPr>
        <w:t xml:space="preserve">an increase of 4,334 employed people. The results indicate that the employment status of women with disabilities has gradually improved. Additionally, a 2019 survey revealed that the regular monthly income for each woman with disabilities averaged NT$25,046, with an increase of NT$3,027 compared with the amount of NT$22,019 in 2016, indicating that the </w:t>
      </w:r>
      <w:r w:rsidR="002512BB">
        <w:rPr>
          <w:rFonts w:ascii="Times New Roman" w:eastAsia="標楷體" w:hAnsi="Times New Roman" w:cs="Times New Roman"/>
          <w:szCs w:val="24"/>
        </w:rPr>
        <w:t>salary</w:t>
      </w:r>
      <w:r w:rsidRPr="00885A57">
        <w:rPr>
          <w:rFonts w:ascii="Times New Roman" w:eastAsia="標楷體" w:hAnsi="Times New Roman" w:cs="Times New Roman"/>
          <w:szCs w:val="24"/>
        </w:rPr>
        <w:t xml:space="preserve"> of women with disabilities </w:t>
      </w:r>
      <w:r w:rsidR="00AA7EF6">
        <w:rPr>
          <w:rFonts w:ascii="Times New Roman" w:eastAsia="標楷體" w:hAnsi="Times New Roman" w:cs="Times New Roman"/>
          <w:szCs w:val="24"/>
        </w:rPr>
        <w:t>has</w:t>
      </w:r>
      <w:r w:rsidR="00AA7EF6"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gradually increased. For the employment status of people with disabilities, please refer to Article 27</w:t>
      </w:r>
      <w:r w:rsidR="00E115AC">
        <w:rPr>
          <w:rFonts w:ascii="Times New Roman" w:eastAsia="標楷體" w:hAnsi="Times New Roman" w:cs="Times New Roman"/>
          <w:szCs w:val="24"/>
        </w:rPr>
        <w:t xml:space="preserve">: </w:t>
      </w:r>
      <w:r w:rsidRPr="00885A57">
        <w:rPr>
          <w:rFonts w:ascii="Times New Roman" w:eastAsia="標楷體" w:hAnsi="Times New Roman" w:cs="Times New Roman"/>
          <w:szCs w:val="24"/>
        </w:rPr>
        <w:t>Work and employment.</w:t>
      </w:r>
    </w:p>
    <w:p w14:paraId="56AC7695" w14:textId="6AAD2C84" w:rsidR="00300981" w:rsidRPr="00885A57" w:rsidRDefault="004B7217"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37" w:name="_Ref52031941"/>
      <w:r w:rsidRPr="00885A57">
        <w:rPr>
          <w:rFonts w:ascii="Times New Roman" w:eastAsia="標楷體" w:hAnsi="Times New Roman" w:cs="Times New Roman"/>
          <w:szCs w:val="24"/>
        </w:rPr>
        <w:t xml:space="preserve">To </w:t>
      </w:r>
      <w:r w:rsidR="00AA7EF6">
        <w:rPr>
          <w:rFonts w:ascii="Times New Roman" w:eastAsia="標楷體" w:hAnsi="Times New Roman" w:cs="Times New Roman"/>
          <w:szCs w:val="24"/>
        </w:rPr>
        <w:t xml:space="preserve">help </w:t>
      </w:r>
      <w:r w:rsidRPr="00885A57">
        <w:rPr>
          <w:rFonts w:ascii="Times New Roman" w:eastAsia="標楷體" w:hAnsi="Times New Roman" w:cs="Times New Roman"/>
          <w:szCs w:val="24"/>
        </w:rPr>
        <w:t xml:space="preserve">women with disabilities </w:t>
      </w:r>
      <w:r w:rsidR="00AA7EF6">
        <w:rPr>
          <w:rFonts w:ascii="Times New Roman" w:eastAsia="標楷體" w:hAnsi="Times New Roman" w:cs="Times New Roman"/>
          <w:szCs w:val="24"/>
        </w:rPr>
        <w:t>find jobs</w:t>
      </w:r>
      <w:r w:rsidRPr="00885A57">
        <w:rPr>
          <w:rFonts w:ascii="Times New Roman" w:eastAsia="標楷體" w:hAnsi="Times New Roman" w:cs="Times New Roman"/>
          <w:szCs w:val="24"/>
        </w:rPr>
        <w:t xml:space="preserve">, the MOL has improved case management on vocational rehabilitation and supported employment services and </w:t>
      </w:r>
      <w:r w:rsidR="00AA7EF6">
        <w:rPr>
          <w:rFonts w:ascii="Times New Roman" w:eastAsia="標楷體" w:hAnsi="Times New Roman" w:cs="Times New Roman"/>
          <w:szCs w:val="24"/>
        </w:rPr>
        <w:t xml:space="preserve">has helped </w:t>
      </w:r>
      <w:r w:rsidRPr="00885A57">
        <w:rPr>
          <w:rFonts w:ascii="Times New Roman" w:eastAsia="標楷體" w:hAnsi="Times New Roman" w:cs="Times New Roman"/>
          <w:szCs w:val="24"/>
        </w:rPr>
        <w:t>arrange public childcare family support services, thereby reducing these women’s family care</w:t>
      </w:r>
      <w:r w:rsidR="00AA7EF6">
        <w:rPr>
          <w:rFonts w:ascii="Times New Roman" w:eastAsia="標楷體" w:hAnsi="Times New Roman" w:cs="Times New Roman"/>
          <w:szCs w:val="24"/>
        </w:rPr>
        <w:t xml:space="preserve"> burden</w:t>
      </w:r>
      <w:r w:rsidRPr="00885A57">
        <w:rPr>
          <w:rFonts w:ascii="Times New Roman" w:eastAsia="標楷體" w:hAnsi="Times New Roman" w:cs="Times New Roman"/>
          <w:szCs w:val="24"/>
        </w:rPr>
        <w:t xml:space="preserve">. Furthermore, the MOL encourages them to attend group discussions, relevant activities, and counseling to help </w:t>
      </w:r>
      <w:r w:rsidR="00AA7EF6">
        <w:rPr>
          <w:rFonts w:ascii="Times New Roman" w:eastAsia="標楷體" w:hAnsi="Times New Roman" w:cs="Times New Roman"/>
          <w:szCs w:val="24"/>
        </w:rPr>
        <w:t xml:space="preserve">them </w:t>
      </w:r>
      <w:r w:rsidRPr="00885A57">
        <w:rPr>
          <w:rFonts w:ascii="Times New Roman" w:eastAsia="標楷體" w:hAnsi="Times New Roman" w:cs="Times New Roman"/>
          <w:szCs w:val="24"/>
        </w:rPr>
        <w:t xml:space="preserve">overcome family-related difficulties and enhance their willingness to seek </w:t>
      </w:r>
      <w:r w:rsidR="00AA7EF6">
        <w:rPr>
          <w:rFonts w:ascii="Times New Roman" w:eastAsia="標楷體" w:hAnsi="Times New Roman" w:cs="Times New Roman"/>
          <w:szCs w:val="24"/>
        </w:rPr>
        <w:t>employment</w:t>
      </w:r>
      <w:r w:rsidRPr="00885A57">
        <w:rPr>
          <w:rFonts w:ascii="Times New Roman" w:eastAsia="標楷體" w:hAnsi="Times New Roman" w:cs="Times New Roman"/>
          <w:szCs w:val="24"/>
        </w:rPr>
        <w:t>;</w:t>
      </w:r>
      <w:r w:rsidR="00AA7EF6">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moreover, funds for preemployment preparation and employment stabilization services have increased year by year. A budget of roughly NT$9.1 million was </w:t>
      </w:r>
      <w:r w:rsidR="00AA7EF6">
        <w:rPr>
          <w:rFonts w:ascii="Times New Roman" w:eastAsia="標楷體" w:hAnsi="Times New Roman" w:cs="Times New Roman"/>
          <w:szCs w:val="24"/>
        </w:rPr>
        <w:t xml:space="preserve">granted for </w:t>
      </w:r>
      <w:r w:rsidRPr="00885A57">
        <w:rPr>
          <w:rFonts w:ascii="Times New Roman" w:eastAsia="標楷體" w:hAnsi="Times New Roman" w:cs="Times New Roman"/>
          <w:szCs w:val="24"/>
        </w:rPr>
        <w:t>said services in 2020, a 20</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increase compared with the amount in 2019. Employment service centers throughout Taiwan actively provide relevant services for said women by creating flexible job opportunities depending on family care requirements. Specifically, these centers </w:t>
      </w:r>
      <w:r w:rsidRPr="00885A57">
        <w:rPr>
          <w:rFonts w:ascii="Times New Roman" w:eastAsia="標楷體" w:hAnsi="Times New Roman" w:cs="Times New Roman"/>
          <w:szCs w:val="24"/>
        </w:rPr>
        <w:lastRenderedPageBreak/>
        <w:t xml:space="preserve">provide individualized employment preparation services (e.g., interview training and resume writing) as well as </w:t>
      </w:r>
      <w:r w:rsidR="00AA7EF6">
        <w:rPr>
          <w:rFonts w:ascii="Times New Roman" w:eastAsia="標楷體" w:hAnsi="Times New Roman" w:cs="Times New Roman"/>
          <w:szCs w:val="24"/>
        </w:rPr>
        <w:t>a</w:t>
      </w:r>
      <w:r w:rsidRPr="00885A57">
        <w:rPr>
          <w:rFonts w:ascii="Times New Roman" w:eastAsia="標楷體" w:hAnsi="Times New Roman" w:cs="Times New Roman"/>
          <w:szCs w:val="24"/>
        </w:rPr>
        <w:t xml:space="preserve">wards and subsidies; the number of job referrals is considered an indicator of </w:t>
      </w:r>
      <w:r w:rsidR="00E115AC">
        <w:rPr>
          <w:rFonts w:ascii="Times New Roman" w:eastAsia="標楷體" w:hAnsi="Times New Roman" w:cs="Times New Roman"/>
          <w:szCs w:val="24"/>
        </w:rPr>
        <w:t xml:space="preserve">these centers’ </w:t>
      </w:r>
      <w:r w:rsidRPr="00885A57">
        <w:rPr>
          <w:rFonts w:ascii="Times New Roman" w:eastAsia="標楷體" w:hAnsi="Times New Roman" w:cs="Times New Roman"/>
          <w:szCs w:val="24"/>
        </w:rPr>
        <w:t>performance; the aim of these efforts is to encourage employers to employ women with disabilities. In 2019, the job referral rate was 66.5</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representing an increase of 2.3</w:t>
      </w:r>
      <w:r w:rsidR="00787A2A">
        <w:rPr>
          <w:rFonts w:ascii="Times New Roman" w:eastAsia="標楷體" w:hAnsi="Times New Roman" w:cs="Times New Roman"/>
          <w:szCs w:val="24"/>
        </w:rPr>
        <w:t xml:space="preserve"> percent</w:t>
      </w:r>
      <w:r w:rsidR="00E115AC">
        <w:rPr>
          <w:rFonts w:ascii="Times New Roman" w:eastAsia="標楷體" w:hAnsi="Times New Roman" w:cs="Times New Roman"/>
          <w:szCs w:val="24"/>
        </w:rPr>
        <w:t>age points</w:t>
      </w:r>
      <w:r w:rsidRPr="00885A57">
        <w:rPr>
          <w:rFonts w:ascii="Times New Roman" w:eastAsia="標楷體" w:hAnsi="Times New Roman" w:cs="Times New Roman"/>
          <w:szCs w:val="24"/>
        </w:rPr>
        <w:t xml:space="preserve"> compared with 64.2</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in 2018. Pursuant to the MOL </w:t>
      </w:r>
      <w:r w:rsidRPr="002153DE">
        <w:rPr>
          <w:rFonts w:ascii="Times New Roman" w:eastAsia="標楷體" w:hAnsi="Times New Roman" w:cs="Times New Roman"/>
          <w:iCs/>
          <w:szCs w:val="24"/>
        </w:rPr>
        <w:t>Directions for Establishing the Committee on Training and Employment Promotion for People with Disabilities</w:t>
      </w:r>
      <w:r w:rsidRPr="00885A57">
        <w:rPr>
          <w:rFonts w:ascii="Times New Roman" w:eastAsia="標楷體" w:hAnsi="Times New Roman" w:cs="Times New Roman"/>
          <w:szCs w:val="24"/>
        </w:rPr>
        <w:t xml:space="preserve">, a committee comprising 16 to 20 members shall be established, with each member </w:t>
      </w:r>
      <w:r w:rsidR="00931A86">
        <w:rPr>
          <w:rFonts w:ascii="Times New Roman" w:eastAsia="標楷體" w:hAnsi="Times New Roman" w:cs="Times New Roman"/>
          <w:szCs w:val="24"/>
        </w:rPr>
        <w:t>serving a tenure of two years.</w:t>
      </w:r>
      <w:r w:rsidRPr="00885A57">
        <w:rPr>
          <w:rFonts w:ascii="Times New Roman" w:eastAsia="標楷體" w:hAnsi="Times New Roman" w:cs="Times New Roman"/>
          <w:szCs w:val="24"/>
        </w:rPr>
        <w:t xml:space="preserve"> Five to seven members shall be representatives of people with disabilities, and representation of a diversity of disabilities shall be considered. To enable women with disabilities to engage in </w:t>
      </w:r>
      <w:r w:rsidR="00EB467A">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planning and launching </w:t>
      </w:r>
      <w:r w:rsidR="00EB467A">
        <w:rPr>
          <w:rFonts w:ascii="Times New Roman" w:eastAsia="標楷體" w:hAnsi="Times New Roman" w:cs="Times New Roman"/>
          <w:szCs w:val="24"/>
        </w:rPr>
        <w:t xml:space="preserve">of </w:t>
      </w:r>
      <w:r w:rsidRPr="00885A57">
        <w:rPr>
          <w:rFonts w:ascii="Times New Roman" w:eastAsia="標楷體" w:hAnsi="Times New Roman" w:cs="Times New Roman"/>
          <w:szCs w:val="24"/>
        </w:rPr>
        <w:t>policies for employment promotion among people with disabilities, the government amended said directions in 2019.</w:t>
      </w:r>
      <w:bookmarkEnd w:id="37"/>
      <w:r w:rsidRPr="00885A57">
        <w:rPr>
          <w:rStyle w:val="ab"/>
          <w:rFonts w:ascii="Times New Roman" w:eastAsia="標楷體" w:hAnsi="Times New Roman" w:cs="Times New Roman"/>
        </w:rPr>
        <w:footnoteReference w:id="23"/>
      </w:r>
    </w:p>
    <w:p w14:paraId="043D2D73" w14:textId="6642AEAE" w:rsidR="00D14542" w:rsidRPr="00885A57" w:rsidRDefault="00165346" w:rsidP="000365DE">
      <w:pPr>
        <w:pStyle w:val="10"/>
        <w:spacing w:after="120" w:line="360" w:lineRule="auto"/>
        <w:rPr>
          <w:rFonts w:ascii="Times New Roman" w:hAnsi="Times New Roman"/>
        </w:rPr>
      </w:pPr>
      <w:bookmarkStart w:id="38" w:name="_Toc73108676"/>
      <w:r w:rsidRPr="00885A57">
        <w:rPr>
          <w:rFonts w:ascii="Times New Roman" w:hAnsi="Times New Roman"/>
        </w:rPr>
        <w:t>Article 7</w:t>
      </w:r>
      <w:bookmarkStart w:id="39" w:name="_Toc55900570"/>
      <w:r w:rsidR="00B645D5" w:rsidRPr="00885A57">
        <w:rPr>
          <w:rFonts w:ascii="Times New Roman" w:hAnsi="Times New Roman"/>
        </w:rPr>
        <w:t xml:space="preserve">: </w:t>
      </w:r>
      <w:r w:rsidRPr="00885A57">
        <w:rPr>
          <w:rFonts w:ascii="Times New Roman" w:hAnsi="Times New Roman"/>
        </w:rPr>
        <w:t>Children with disabilities</w:t>
      </w:r>
      <w:bookmarkEnd w:id="38"/>
      <w:bookmarkEnd w:id="39"/>
    </w:p>
    <w:p w14:paraId="3A054615" w14:textId="500828F4" w:rsidR="009E76E1" w:rsidRPr="00885A57" w:rsidRDefault="004B7217" w:rsidP="001A2139">
      <w:pPr>
        <w:pStyle w:val="a7"/>
        <w:numPr>
          <w:ilvl w:val="0"/>
          <w:numId w:val="10"/>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Early intervention system</w:t>
      </w:r>
    </w:p>
    <w:p w14:paraId="79D74614" w14:textId="60D648B2" w:rsidR="00E26A12" w:rsidRPr="00885A57" w:rsidRDefault="004B7217" w:rsidP="00AC1256">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40" w:name="_Ref55903531"/>
      <w:r w:rsidRPr="00885A57">
        <w:rPr>
          <w:rFonts w:ascii="Times New Roman" w:eastAsia="標楷體" w:hAnsi="Times New Roman" w:cs="Times New Roman"/>
          <w:szCs w:val="24"/>
        </w:rPr>
        <w:t xml:space="preserve">In 1993, the government </w:t>
      </w:r>
      <w:r w:rsidR="00F5340D">
        <w:rPr>
          <w:rFonts w:ascii="Times New Roman" w:eastAsia="標楷體" w:hAnsi="Times New Roman" w:cs="Times New Roman"/>
          <w:szCs w:val="24"/>
        </w:rPr>
        <w:t>implemented</w:t>
      </w:r>
      <w:r w:rsidR="00F5340D"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acts addressing early childhood intervention for children with developmental delays. In 1997, in accordance with the </w:t>
      </w:r>
      <w:r w:rsidRPr="002153DE">
        <w:rPr>
          <w:rFonts w:ascii="Times New Roman" w:eastAsia="標楷體" w:hAnsi="Times New Roman" w:cs="Times New Roman"/>
          <w:iCs/>
          <w:szCs w:val="24"/>
        </w:rPr>
        <w:t>Child Welfare Act</w:t>
      </w:r>
      <w:r w:rsidRPr="00885A57">
        <w:rPr>
          <w:rFonts w:ascii="Times New Roman" w:eastAsia="標楷體" w:hAnsi="Times New Roman" w:cs="Times New Roman"/>
          <w:szCs w:val="24"/>
        </w:rPr>
        <w:t xml:space="preserve"> (now known as the </w:t>
      </w:r>
      <w:r w:rsidRPr="002153DE">
        <w:rPr>
          <w:rFonts w:ascii="Times New Roman" w:eastAsia="標楷體" w:hAnsi="Times New Roman" w:cs="Times New Roman"/>
          <w:iCs/>
          <w:szCs w:val="24"/>
        </w:rPr>
        <w:t>Protection of Children and Youth</w:t>
      </w:r>
      <w:r w:rsidR="00F5340D">
        <w:rPr>
          <w:rFonts w:ascii="Times New Roman" w:eastAsia="標楷體" w:hAnsi="Times New Roman" w:cs="Times New Roman"/>
          <w:iCs/>
          <w:szCs w:val="24"/>
        </w:rPr>
        <w:t>s</w:t>
      </w:r>
      <w:r w:rsidRPr="002153DE">
        <w:rPr>
          <w:rFonts w:ascii="Times New Roman" w:eastAsia="標楷體" w:hAnsi="Times New Roman" w:cs="Times New Roman"/>
          <w:iCs/>
          <w:szCs w:val="24"/>
        </w:rPr>
        <w:t xml:space="preserve"> Welfare and Rights Act</w:t>
      </w:r>
      <w:r w:rsidRPr="00885A57">
        <w:rPr>
          <w:rFonts w:ascii="Times New Roman" w:eastAsia="標楷體" w:hAnsi="Times New Roman" w:cs="Times New Roman"/>
          <w:szCs w:val="24"/>
        </w:rPr>
        <w:t xml:space="preserve">, hereinafter referred to as the PCYWRA), social administration authorities collaborated with education and health authorities to jointly </w:t>
      </w:r>
      <w:r w:rsidR="00EB467A">
        <w:rPr>
          <w:rFonts w:ascii="Times New Roman" w:eastAsia="標楷體" w:hAnsi="Times New Roman" w:cs="Times New Roman"/>
          <w:szCs w:val="24"/>
        </w:rPr>
        <w:t xml:space="preserve">found a </w:t>
      </w:r>
      <w:r w:rsidRPr="00885A57">
        <w:rPr>
          <w:rFonts w:ascii="Times New Roman" w:eastAsia="標楷體" w:hAnsi="Times New Roman" w:cs="Times New Roman"/>
          <w:szCs w:val="24"/>
        </w:rPr>
        <w:t xml:space="preserve">promotion committee for children with developmental delays. </w:t>
      </w:r>
      <w:r w:rsidRPr="00885A57">
        <w:rPr>
          <w:rFonts w:ascii="Times New Roman" w:eastAsia="標楷體" w:hAnsi="Times New Roman" w:cs="Times New Roman"/>
          <w:szCs w:val="24"/>
        </w:rPr>
        <w:lastRenderedPageBreak/>
        <w:t>The Implementation Plan for Early Intervention for Children with Developmental Delay</w:t>
      </w:r>
      <w:r w:rsidR="005E46C8" w:rsidRPr="00885A57">
        <w:rPr>
          <w:rFonts w:ascii="Times New Roman" w:eastAsia="標楷體" w:hAnsi="Times New Roman" w:cs="Times New Roman"/>
          <w:szCs w:val="24"/>
        </w:rPr>
        <w:t>s</w:t>
      </w:r>
      <w:r w:rsidRPr="00885A57">
        <w:rPr>
          <w:rFonts w:ascii="Times New Roman" w:eastAsia="標楷體" w:hAnsi="Times New Roman" w:cs="Times New Roman"/>
          <w:szCs w:val="24"/>
        </w:rPr>
        <w:t xml:space="preserve"> was also drafted to establish a mechanism to facilitate collaboration, communication, and coordination of early intervention services between central and local governments, enabling the provision of </w:t>
      </w:r>
      <w:r w:rsidR="00931A86">
        <w:rPr>
          <w:rFonts w:ascii="Times New Roman" w:eastAsia="標楷體" w:hAnsi="Times New Roman" w:cs="Times New Roman"/>
          <w:szCs w:val="24"/>
        </w:rPr>
        <w:t>multifaceted</w:t>
      </w:r>
      <w:r w:rsidRPr="00885A57">
        <w:rPr>
          <w:rFonts w:ascii="Times New Roman" w:eastAsia="標楷體" w:hAnsi="Times New Roman" w:cs="Times New Roman"/>
          <w:szCs w:val="24"/>
        </w:rPr>
        <w:t xml:space="preserve"> professional services</w:t>
      </w:r>
      <w:r w:rsidRPr="00885A57">
        <w:rPr>
          <w:rFonts w:ascii="Times New Roman" w:eastAsia="標楷體" w:hAnsi="Times New Roman" w:cs="Times New Roman"/>
          <w:bCs/>
          <w:szCs w:val="24"/>
        </w:rPr>
        <w:t>.</w:t>
      </w:r>
      <w:bookmarkEnd w:id="40"/>
      <w:r w:rsidRPr="00885A57">
        <w:rPr>
          <w:rFonts w:ascii="Times New Roman" w:eastAsia="標楷體" w:hAnsi="Times New Roman" w:cs="Times New Roman"/>
          <w:bCs/>
          <w:vertAlign w:val="superscript"/>
        </w:rPr>
        <w:footnoteReference w:id="24"/>
      </w:r>
    </w:p>
    <w:p w14:paraId="1F1E0D24" w14:textId="324E0DD3" w:rsidR="005C590A" w:rsidRPr="00885A57" w:rsidRDefault="004B7217" w:rsidP="00AC1256">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41" w:name="_Ref55903546"/>
      <w:r w:rsidRPr="00885A57">
        <w:rPr>
          <w:rFonts w:ascii="Times New Roman" w:eastAsia="標楷體" w:hAnsi="Times New Roman" w:cs="Times New Roman"/>
          <w:bCs/>
          <w:szCs w:val="28"/>
        </w:rPr>
        <w:t xml:space="preserve">As stipulated in the PCYWRA, the government shall establish a development assessment mechanism for children age </w:t>
      </w:r>
      <w:r w:rsidR="00DE3664" w:rsidRPr="00885A57">
        <w:rPr>
          <w:rFonts w:ascii="Times New Roman" w:eastAsia="標楷體" w:hAnsi="Times New Roman" w:cs="Times New Roman"/>
          <w:bCs/>
          <w:szCs w:val="28"/>
        </w:rPr>
        <w:t>six</w:t>
      </w:r>
      <w:r w:rsidRPr="00885A57">
        <w:rPr>
          <w:rFonts w:ascii="Times New Roman" w:eastAsia="標楷體" w:hAnsi="Times New Roman" w:cs="Times New Roman"/>
          <w:bCs/>
          <w:szCs w:val="28"/>
        </w:rPr>
        <w:t xml:space="preserve"> years and younger and offer special care for early intervention, medical treatment, schooling, and family support to developmentally delayed children as needed. The central competent authority</w:t>
      </w:r>
      <w:r w:rsidR="009422E1">
        <w:rPr>
          <w:rFonts w:ascii="Times New Roman" w:eastAsia="標楷體" w:hAnsi="Times New Roman" w:cs="Times New Roman"/>
          <w:bCs/>
          <w:szCs w:val="28"/>
        </w:rPr>
        <w:t>,</w:t>
      </w:r>
      <w:r w:rsidRPr="00885A57">
        <w:rPr>
          <w:rFonts w:ascii="Times New Roman" w:eastAsia="標楷體" w:hAnsi="Times New Roman" w:cs="Times New Roman"/>
          <w:bCs/>
          <w:szCs w:val="28"/>
        </w:rPr>
        <w:t xml:space="preserve"> together with the authorized agencies in charge of health and education</w:t>
      </w:r>
      <w:r w:rsidR="009422E1">
        <w:rPr>
          <w:rFonts w:ascii="Times New Roman" w:eastAsia="標楷體" w:hAnsi="Times New Roman" w:cs="Times New Roman"/>
          <w:bCs/>
          <w:szCs w:val="28"/>
        </w:rPr>
        <w:t>,</w:t>
      </w:r>
      <w:r w:rsidRPr="00885A57">
        <w:rPr>
          <w:rFonts w:ascii="Times New Roman" w:eastAsia="標楷體" w:hAnsi="Times New Roman" w:cs="Times New Roman"/>
          <w:bCs/>
          <w:szCs w:val="28"/>
        </w:rPr>
        <w:t xml:space="preserve"> shall plan and implement bridging and coordinating mechanisms for screening, reporting, assessment, treatment, education</w:t>
      </w:r>
      <w:r w:rsidR="009422E1">
        <w:rPr>
          <w:rFonts w:ascii="Times New Roman" w:eastAsia="標楷體" w:hAnsi="Times New Roman" w:cs="Times New Roman"/>
          <w:bCs/>
          <w:szCs w:val="28"/>
        </w:rPr>
        <w:t>,</w:t>
      </w:r>
      <w:r w:rsidRPr="00885A57">
        <w:rPr>
          <w:rFonts w:ascii="Times New Roman" w:eastAsia="標楷體" w:hAnsi="Times New Roman" w:cs="Times New Roman"/>
          <w:bCs/>
          <w:szCs w:val="28"/>
        </w:rPr>
        <w:t xml:space="preserve"> and other services </w:t>
      </w:r>
      <w:r w:rsidR="009422E1">
        <w:rPr>
          <w:rFonts w:ascii="Times New Roman" w:eastAsia="標楷體" w:hAnsi="Times New Roman" w:cs="Times New Roman"/>
          <w:bCs/>
          <w:szCs w:val="28"/>
        </w:rPr>
        <w:t xml:space="preserve">associated with </w:t>
      </w:r>
      <w:r w:rsidRPr="00885A57">
        <w:rPr>
          <w:rFonts w:ascii="Times New Roman" w:eastAsia="標楷體" w:hAnsi="Times New Roman" w:cs="Times New Roman"/>
          <w:bCs/>
          <w:szCs w:val="28"/>
        </w:rPr>
        <w:t xml:space="preserve">early intervention. The MOHW, MOE, and local governments must comply with the PCYWRA and, </w:t>
      </w:r>
      <w:r w:rsidR="009422E1">
        <w:rPr>
          <w:rFonts w:ascii="Times New Roman" w:eastAsia="標楷體" w:hAnsi="Times New Roman" w:cs="Times New Roman"/>
          <w:bCs/>
          <w:szCs w:val="28"/>
        </w:rPr>
        <w:t xml:space="preserve">in line with </w:t>
      </w:r>
      <w:r w:rsidRPr="00885A57">
        <w:rPr>
          <w:rFonts w:ascii="Times New Roman" w:eastAsia="標楷體" w:hAnsi="Times New Roman" w:cs="Times New Roman"/>
          <w:bCs/>
          <w:szCs w:val="28"/>
        </w:rPr>
        <w:t xml:space="preserve">their corresponding responsibilities, </w:t>
      </w:r>
      <w:r w:rsidR="009422E1">
        <w:rPr>
          <w:rFonts w:ascii="Times New Roman" w:eastAsia="標楷體" w:hAnsi="Times New Roman" w:cs="Times New Roman"/>
          <w:bCs/>
          <w:szCs w:val="28"/>
        </w:rPr>
        <w:t xml:space="preserve">are to </w:t>
      </w:r>
      <w:r w:rsidRPr="00885A57">
        <w:rPr>
          <w:rFonts w:ascii="Times New Roman" w:eastAsia="標楷體" w:hAnsi="Times New Roman" w:cs="Times New Roman"/>
          <w:bCs/>
          <w:szCs w:val="28"/>
        </w:rPr>
        <w:t xml:space="preserve">launch relevant services such as reporting of children with developmental delays, case management, and joint assessment. For those children who do not demonstrate improvement following an intervention, a disability assessment </w:t>
      </w:r>
      <w:r w:rsidR="009422E1">
        <w:rPr>
          <w:rFonts w:ascii="Times New Roman" w:eastAsia="標楷體" w:hAnsi="Times New Roman" w:cs="Times New Roman"/>
          <w:bCs/>
          <w:szCs w:val="28"/>
        </w:rPr>
        <w:t xml:space="preserve">is to </w:t>
      </w:r>
      <w:r w:rsidRPr="00885A57">
        <w:rPr>
          <w:rFonts w:ascii="Times New Roman" w:eastAsia="標楷體" w:hAnsi="Times New Roman" w:cs="Times New Roman"/>
          <w:bCs/>
          <w:szCs w:val="28"/>
        </w:rPr>
        <w:t>be conducted per the PDRPA to provide individual and family care support for caregivers of people with disabilities</w:t>
      </w:r>
      <w:bookmarkEnd w:id="41"/>
      <w:r w:rsidRPr="00885A57">
        <w:rPr>
          <w:rFonts w:ascii="Times New Roman" w:eastAsia="標楷體" w:hAnsi="Times New Roman" w:cs="Times New Roman"/>
          <w:bCs/>
          <w:szCs w:val="28"/>
        </w:rPr>
        <w:t>.</w:t>
      </w:r>
    </w:p>
    <w:p w14:paraId="5EEAE0C3" w14:textId="19E79DBC" w:rsidR="00FE6066" w:rsidRPr="00885A57" w:rsidRDefault="004B7217"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42" w:name="_Ref55903569"/>
      <w:r w:rsidRPr="00885A57">
        <w:rPr>
          <w:rFonts w:ascii="Times New Roman" w:eastAsia="標楷體" w:hAnsi="Times New Roman" w:cs="Times New Roman"/>
          <w:szCs w:val="24"/>
        </w:rPr>
        <w:t xml:space="preserve">Statistics </w:t>
      </w:r>
      <w:r w:rsidR="009422E1">
        <w:rPr>
          <w:rFonts w:ascii="Times New Roman" w:eastAsia="標楷體" w:hAnsi="Times New Roman" w:cs="Times New Roman"/>
          <w:szCs w:val="24"/>
        </w:rPr>
        <w:t xml:space="preserve">from </w:t>
      </w:r>
      <w:r w:rsidRPr="00885A57">
        <w:rPr>
          <w:rFonts w:ascii="Times New Roman" w:eastAsia="標楷體" w:hAnsi="Times New Roman" w:cs="Times New Roman"/>
          <w:szCs w:val="24"/>
        </w:rPr>
        <w:t>2019 early intervention services for children with developmental delays and service recipients are as follows</w:t>
      </w:r>
      <w:bookmarkEnd w:id="42"/>
      <w:r w:rsidRPr="00885A57">
        <w:rPr>
          <w:rFonts w:ascii="Times New Roman" w:eastAsia="標楷體" w:hAnsi="Times New Roman" w:cs="Times New Roman"/>
          <w:szCs w:val="24"/>
        </w:rPr>
        <w:t>:</w:t>
      </w:r>
    </w:p>
    <w:p w14:paraId="7965EAF6" w14:textId="2D17F14B" w:rsidR="004B7217" w:rsidRPr="00885A57" w:rsidRDefault="004B7217" w:rsidP="001A2139">
      <w:pPr>
        <w:pStyle w:val="a7"/>
        <w:numPr>
          <w:ilvl w:val="0"/>
          <w:numId w:val="25"/>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lastRenderedPageBreak/>
        <w:t xml:space="preserve">A total of 28 reporting and referral centers have been </w:t>
      </w:r>
      <w:r w:rsidR="009422E1">
        <w:rPr>
          <w:rFonts w:ascii="Times New Roman" w:eastAsia="標楷體" w:hAnsi="Times New Roman" w:cs="Times New Roman"/>
          <w:szCs w:val="24"/>
        </w:rPr>
        <w:t>founded</w:t>
      </w:r>
      <w:r w:rsidRPr="00885A57">
        <w:rPr>
          <w:rFonts w:ascii="Times New Roman" w:eastAsia="標楷體" w:hAnsi="Times New Roman" w:cs="Times New Roman"/>
          <w:szCs w:val="24"/>
        </w:rPr>
        <w:t>. These centers together received 26,471 reports of children having or suspected of having developmental delays, representing a 10.5</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increase over </w:t>
      </w:r>
      <w:r w:rsidR="00F5340D">
        <w:rPr>
          <w:rFonts w:ascii="Times New Roman" w:eastAsia="標楷體" w:hAnsi="Times New Roman" w:cs="Times New Roman"/>
          <w:szCs w:val="24"/>
        </w:rPr>
        <w:t xml:space="preserve">the </w:t>
      </w:r>
      <w:r w:rsidRPr="00885A57">
        <w:rPr>
          <w:rFonts w:ascii="Times New Roman" w:eastAsia="標楷體" w:hAnsi="Times New Roman" w:cs="Times New Roman"/>
          <w:szCs w:val="24"/>
        </w:rPr>
        <w:t>23,953 cases in 2018.</w:t>
      </w:r>
    </w:p>
    <w:p w14:paraId="55F3DBBF" w14:textId="766682D4" w:rsidR="004B7217" w:rsidRPr="00885A57" w:rsidRDefault="004B7217" w:rsidP="001A2139">
      <w:pPr>
        <w:pStyle w:val="a7"/>
        <w:numPr>
          <w:ilvl w:val="0"/>
          <w:numId w:val="25"/>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A total of 54 case management centers have been founded, and these centers opened 55,266 cases in 2019, an 8.2</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increase from 51,094 in 2018. These centers also organized parent</w:t>
      </w:r>
      <w:r w:rsidR="00F5340D">
        <w:rPr>
          <w:rFonts w:ascii="Times New Roman" w:eastAsia="標楷體" w:hAnsi="Times New Roman" w:cs="Times New Roman"/>
          <w:szCs w:val="24"/>
        </w:rPr>
        <w:t>-</w:t>
      </w:r>
      <w:r w:rsidRPr="00885A57">
        <w:rPr>
          <w:rFonts w:ascii="Times New Roman" w:eastAsia="標楷體" w:hAnsi="Times New Roman" w:cs="Times New Roman"/>
          <w:szCs w:val="24"/>
        </w:rPr>
        <w:t xml:space="preserve">child activities and parenting events as well as provided family support services in transition, respite care, emotional support, and development consultation. Moreover, the Work Rules Handbook on the Reporting and Referral Centers and Case Management Centers was published in 2019, with the aim of improving services provided by each department specialized in handling affairs </w:t>
      </w:r>
      <w:r w:rsidR="009422E1">
        <w:rPr>
          <w:rFonts w:ascii="Times New Roman" w:eastAsia="標楷體" w:hAnsi="Times New Roman" w:cs="Times New Roman"/>
          <w:szCs w:val="24"/>
        </w:rPr>
        <w:t xml:space="preserve">related to </w:t>
      </w:r>
      <w:r w:rsidRPr="00885A57">
        <w:rPr>
          <w:rFonts w:ascii="Times New Roman" w:eastAsia="標楷體" w:hAnsi="Times New Roman" w:cs="Times New Roman"/>
          <w:szCs w:val="24"/>
        </w:rPr>
        <w:t>cases.</w:t>
      </w:r>
    </w:p>
    <w:p w14:paraId="07421C4F" w14:textId="04F1E492" w:rsidR="004B7217" w:rsidRPr="00885A57" w:rsidRDefault="004B7217" w:rsidP="001A2139">
      <w:pPr>
        <w:pStyle w:val="a7"/>
        <w:numPr>
          <w:ilvl w:val="0"/>
          <w:numId w:val="25"/>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In 2019, a total of 51 joint assessment centers </w:t>
      </w:r>
      <w:r w:rsidR="005E46C8" w:rsidRPr="00885A57">
        <w:rPr>
          <w:rFonts w:ascii="Times New Roman" w:eastAsia="標楷體" w:hAnsi="Times New Roman" w:cs="Times New Roman"/>
          <w:szCs w:val="24"/>
        </w:rPr>
        <w:t xml:space="preserve">for child development </w:t>
      </w:r>
      <w:r w:rsidRPr="00885A57">
        <w:rPr>
          <w:rFonts w:ascii="Times New Roman" w:eastAsia="標楷體" w:hAnsi="Times New Roman" w:cs="Times New Roman"/>
          <w:szCs w:val="24"/>
        </w:rPr>
        <w:t>were founded, where 25,496 children suspected of developmental delays were assessed, among whom 16,784 were confirmed as having developmental delays (Table 7.1).</w:t>
      </w:r>
    </w:p>
    <w:p w14:paraId="0E44C816" w14:textId="413262EB" w:rsidR="004B7217" w:rsidRPr="00885A57" w:rsidRDefault="004B7217" w:rsidP="001A2139">
      <w:pPr>
        <w:pStyle w:val="a7"/>
        <w:numPr>
          <w:ilvl w:val="0"/>
          <w:numId w:val="25"/>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The MOHW supervises local governments in providing various services including NHI-covered early intervention, at-home intervention, community-based intervention, part-time intervention, and daytime intervention at early intervention institutions in accordance with the PCYWRA</w:t>
      </w:r>
      <w:r w:rsidR="009422E1">
        <w:rPr>
          <w:rFonts w:ascii="Times New Roman" w:eastAsia="標楷體" w:hAnsi="Times New Roman" w:cs="Times New Roman"/>
          <w:szCs w:val="24"/>
        </w:rPr>
        <w:t xml:space="preserve">. As a result, </w:t>
      </w:r>
      <w:r w:rsidRPr="00885A57">
        <w:rPr>
          <w:rFonts w:ascii="Times New Roman" w:eastAsia="標楷體" w:hAnsi="Times New Roman" w:cs="Times New Roman"/>
          <w:szCs w:val="24"/>
        </w:rPr>
        <w:t>children with developmental delays and their families can receive appropriate resources according to their needs.</w:t>
      </w:r>
    </w:p>
    <w:p w14:paraId="7FBCAF1B" w14:textId="520DCEFF" w:rsidR="004B7217" w:rsidRPr="00885A57" w:rsidRDefault="004B7217" w:rsidP="001A2139">
      <w:pPr>
        <w:pStyle w:val="a7"/>
        <w:numPr>
          <w:ilvl w:val="0"/>
          <w:numId w:val="25"/>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MOHW continues to promote the </w:t>
      </w:r>
      <w:bookmarkStart w:id="43" w:name="_Hlk69404688"/>
      <w:r w:rsidRPr="00885A57">
        <w:rPr>
          <w:rFonts w:ascii="Times New Roman" w:eastAsia="標楷體" w:hAnsi="Times New Roman" w:cs="Times New Roman"/>
          <w:szCs w:val="24"/>
        </w:rPr>
        <w:t>Implementation Plan for Providing Community-Based Interventions for Children with Developmental Delays</w:t>
      </w:r>
      <w:r w:rsidR="00051848">
        <w:rPr>
          <w:rFonts w:ascii="Times New Roman" w:eastAsia="標楷體" w:hAnsi="Times New Roman" w:cs="Times New Roman"/>
          <w:szCs w:val="24"/>
        </w:rPr>
        <w:t xml:space="preserve"> in </w:t>
      </w:r>
      <w:r w:rsidR="00051848">
        <w:rPr>
          <w:rFonts w:ascii="Times New Roman" w:eastAsia="標楷體" w:hAnsi="Times New Roman" w:cs="Times New Roman"/>
          <w:szCs w:val="24"/>
        </w:rPr>
        <w:lastRenderedPageBreak/>
        <w:t>Remote Areas</w:t>
      </w:r>
      <w:r w:rsidRPr="00885A57">
        <w:rPr>
          <w:rFonts w:ascii="Times New Roman" w:eastAsia="標楷體" w:hAnsi="Times New Roman" w:cs="Times New Roman"/>
          <w:szCs w:val="24"/>
        </w:rPr>
        <w:t xml:space="preserve"> </w:t>
      </w:r>
      <w:bookmarkEnd w:id="43"/>
      <w:r w:rsidRPr="00885A57">
        <w:rPr>
          <w:rFonts w:ascii="Times New Roman" w:eastAsia="標楷體" w:hAnsi="Times New Roman" w:cs="Times New Roman"/>
          <w:szCs w:val="24"/>
        </w:rPr>
        <w:t>by providing childhood intervention, family support, community prevention, and community empowerment services through teamwork with social welfare, health, and education professionals. In 2019, these services were offered in 92 counties, townships, and districts, representing an increase of 13.6</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over the 81 recorded in 2018. The Project of Deploying Intervention Resources in Areas </w:t>
      </w:r>
      <w:r w:rsidR="00931A86">
        <w:rPr>
          <w:rFonts w:ascii="Times New Roman" w:eastAsia="標楷體" w:hAnsi="Times New Roman" w:cs="Times New Roman"/>
          <w:szCs w:val="24"/>
        </w:rPr>
        <w:t xml:space="preserve">with Fewer Resources </w:t>
      </w:r>
      <w:r w:rsidRPr="00885A57">
        <w:rPr>
          <w:rFonts w:ascii="Times New Roman" w:eastAsia="標楷體" w:hAnsi="Times New Roman" w:cs="Times New Roman"/>
          <w:szCs w:val="24"/>
        </w:rPr>
        <w:t>(2019</w:t>
      </w:r>
      <w:r w:rsidR="00951C3C">
        <w:rPr>
          <w:rFonts w:ascii="Times New Roman" w:eastAsia="標楷體" w:hAnsi="Times New Roman" w:cs="Times New Roman"/>
          <w:szCs w:val="24"/>
        </w:rPr>
        <w:t>-</w:t>
      </w:r>
      <w:r w:rsidRPr="00885A57">
        <w:rPr>
          <w:rFonts w:ascii="Times New Roman" w:eastAsia="標楷體" w:hAnsi="Times New Roman" w:cs="Times New Roman"/>
          <w:szCs w:val="24"/>
        </w:rPr>
        <w:t xml:space="preserve">2021) was also launched in 2019 and spans 12 counties, townships, and districts. Furthermore, the MOHW commissioned expert teams to write </w:t>
      </w:r>
      <w:r w:rsidR="009422E1">
        <w:rPr>
          <w:rFonts w:ascii="Times New Roman" w:eastAsia="標楷體" w:hAnsi="Times New Roman" w:cs="Times New Roman"/>
          <w:szCs w:val="24"/>
        </w:rPr>
        <w:t xml:space="preserve">the </w:t>
      </w:r>
      <w:r w:rsidRPr="00885A57">
        <w:rPr>
          <w:rFonts w:ascii="Times New Roman" w:eastAsia="標楷體" w:hAnsi="Times New Roman" w:cs="Times New Roman"/>
          <w:szCs w:val="24"/>
        </w:rPr>
        <w:t>e</w:t>
      </w:r>
      <w:r w:rsidR="009422E1">
        <w:rPr>
          <w:rFonts w:ascii="Times New Roman" w:eastAsia="標楷體" w:hAnsi="Times New Roman" w:cs="Times New Roman"/>
          <w:szCs w:val="24"/>
        </w:rPr>
        <w:t>b</w:t>
      </w:r>
      <w:r w:rsidRPr="00885A57">
        <w:rPr>
          <w:rFonts w:ascii="Times New Roman" w:eastAsia="標楷體" w:hAnsi="Times New Roman" w:cs="Times New Roman"/>
          <w:szCs w:val="24"/>
        </w:rPr>
        <w:t xml:space="preserve">ooks </w:t>
      </w:r>
      <w:r w:rsidRPr="00F370E0">
        <w:rPr>
          <w:rFonts w:ascii="Times New Roman" w:eastAsia="標楷體" w:hAnsi="Times New Roman" w:cs="Times New Roman"/>
          <w:i/>
          <w:iCs/>
          <w:szCs w:val="24"/>
        </w:rPr>
        <w:t>Guidelines for Community Intervention Services</w:t>
      </w:r>
      <w:r w:rsidRPr="002153DE">
        <w:rPr>
          <w:rFonts w:ascii="Times New Roman" w:eastAsia="標楷體" w:hAnsi="Times New Roman" w:cs="Times New Roman"/>
          <w:iCs/>
          <w:szCs w:val="24"/>
        </w:rPr>
        <w:t xml:space="preserve"> (Including at-Home Interventions)</w:t>
      </w:r>
      <w:r w:rsidRPr="00885A57">
        <w:rPr>
          <w:rFonts w:ascii="Times New Roman" w:eastAsia="標楷體" w:hAnsi="Times New Roman" w:cs="Times New Roman"/>
          <w:szCs w:val="24"/>
        </w:rPr>
        <w:t xml:space="preserve"> and </w:t>
      </w:r>
      <w:r w:rsidRPr="00F370E0">
        <w:rPr>
          <w:rFonts w:ascii="Times New Roman" w:eastAsia="標楷體" w:hAnsi="Times New Roman" w:cs="Times New Roman"/>
          <w:i/>
          <w:iCs/>
          <w:szCs w:val="24"/>
        </w:rPr>
        <w:t>Indicator Examples for Community Intervention Services</w:t>
      </w:r>
      <w:r w:rsidRPr="002153DE">
        <w:rPr>
          <w:rFonts w:ascii="Times New Roman" w:eastAsia="標楷體" w:hAnsi="Times New Roman" w:cs="Times New Roman"/>
          <w:iCs/>
          <w:szCs w:val="24"/>
        </w:rPr>
        <w:t xml:space="preserve"> (Including at-Home Interventions)</w:t>
      </w:r>
      <w:r w:rsidRPr="00885A57">
        <w:rPr>
          <w:rFonts w:ascii="Times New Roman" w:eastAsia="標楷體" w:hAnsi="Times New Roman" w:cs="Times New Roman"/>
          <w:szCs w:val="24"/>
        </w:rPr>
        <w:t>; the</w:t>
      </w:r>
      <w:r w:rsidR="009422E1">
        <w:rPr>
          <w:rFonts w:ascii="Times New Roman" w:eastAsia="標楷體" w:hAnsi="Times New Roman" w:cs="Times New Roman"/>
          <w:szCs w:val="24"/>
        </w:rPr>
        <w:t>se</w:t>
      </w:r>
      <w:r w:rsidRPr="00885A57">
        <w:rPr>
          <w:rFonts w:ascii="Times New Roman" w:eastAsia="標楷體" w:hAnsi="Times New Roman" w:cs="Times New Roman"/>
          <w:szCs w:val="24"/>
        </w:rPr>
        <w:t xml:space="preserve"> </w:t>
      </w:r>
      <w:r w:rsidR="009422E1">
        <w:rPr>
          <w:rFonts w:ascii="Times New Roman" w:eastAsia="標楷體" w:hAnsi="Times New Roman" w:cs="Times New Roman"/>
          <w:szCs w:val="24"/>
        </w:rPr>
        <w:t xml:space="preserve">works </w:t>
      </w:r>
      <w:r w:rsidRPr="00885A57">
        <w:rPr>
          <w:rFonts w:ascii="Times New Roman" w:eastAsia="標楷體" w:hAnsi="Times New Roman" w:cs="Times New Roman"/>
          <w:szCs w:val="24"/>
        </w:rPr>
        <w:t>provide frontline staff with family-centered, community-based expertise and practical strategies.</w:t>
      </w:r>
      <w:r w:rsidRPr="00885A57">
        <w:rPr>
          <w:rFonts w:ascii="Times New Roman" w:eastAsia="標楷體" w:hAnsi="Times New Roman" w:cs="Times New Roman"/>
          <w:vertAlign w:val="superscript"/>
        </w:rPr>
        <w:footnoteReference w:id="25"/>
      </w:r>
    </w:p>
    <w:p w14:paraId="244C4F72" w14:textId="31BA959D" w:rsidR="00000B61" w:rsidRPr="00885A57" w:rsidRDefault="004B7217" w:rsidP="000365DE">
      <w:pPr>
        <w:pStyle w:val="a7"/>
        <w:numPr>
          <w:ilvl w:val="0"/>
          <w:numId w:val="25"/>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To reduce the cost of intervention for children with developmental delays, each child may receive an allowance of NT$3,000</w:t>
      </w:r>
      <w:r w:rsidR="009422E1">
        <w:rPr>
          <w:rFonts w:ascii="Times New Roman" w:eastAsia="標楷體" w:hAnsi="Times New Roman" w:cs="Times New Roman"/>
          <w:szCs w:val="24"/>
        </w:rPr>
        <w:t xml:space="preserve"> to </w:t>
      </w:r>
      <w:r w:rsidRPr="00885A57">
        <w:rPr>
          <w:rFonts w:ascii="Times New Roman" w:eastAsia="標楷體" w:hAnsi="Times New Roman" w:cs="Times New Roman"/>
          <w:szCs w:val="24"/>
        </w:rPr>
        <w:t xml:space="preserve">NT$5,000 </w:t>
      </w:r>
      <w:r w:rsidR="009D6A41">
        <w:rPr>
          <w:rFonts w:ascii="Times New Roman" w:eastAsia="標楷體" w:hAnsi="Times New Roman" w:cs="Times New Roman"/>
          <w:szCs w:val="24"/>
        </w:rPr>
        <w:t xml:space="preserve">per month </w:t>
      </w:r>
      <w:r w:rsidRPr="00885A57">
        <w:rPr>
          <w:rFonts w:ascii="Times New Roman" w:eastAsia="標楷體" w:hAnsi="Times New Roman" w:cs="Times New Roman"/>
          <w:szCs w:val="24"/>
        </w:rPr>
        <w:t xml:space="preserve">depending on </w:t>
      </w:r>
      <w:r w:rsidR="00951C3C">
        <w:rPr>
          <w:rFonts w:ascii="Times New Roman" w:eastAsia="標楷體" w:hAnsi="Times New Roman" w:cs="Times New Roman"/>
          <w:szCs w:val="24"/>
        </w:rPr>
        <w:t>his/her</w:t>
      </w:r>
      <w:r w:rsidR="00951C3C"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family</w:t>
      </w:r>
      <w:r w:rsidR="009422E1">
        <w:rPr>
          <w:rFonts w:ascii="Times New Roman" w:eastAsia="標楷體" w:hAnsi="Times New Roman" w:cs="Times New Roman"/>
          <w:szCs w:val="24"/>
        </w:rPr>
        <w:t>’s</w:t>
      </w:r>
      <w:r w:rsidRPr="00885A57">
        <w:rPr>
          <w:rFonts w:ascii="Times New Roman" w:eastAsia="標楷體" w:hAnsi="Times New Roman" w:cs="Times New Roman"/>
          <w:szCs w:val="24"/>
        </w:rPr>
        <w:t xml:space="preserve"> financial status. In 2019, a total of 53,814 children received such an allowance, a 3.5</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increase from </w:t>
      </w:r>
      <w:r w:rsidR="009422E1">
        <w:rPr>
          <w:rFonts w:ascii="Times New Roman" w:eastAsia="標楷體" w:hAnsi="Times New Roman" w:cs="Times New Roman"/>
          <w:szCs w:val="24"/>
        </w:rPr>
        <w:t xml:space="preserve">the </w:t>
      </w:r>
      <w:r w:rsidRPr="00885A57">
        <w:rPr>
          <w:rFonts w:ascii="Times New Roman" w:eastAsia="標楷體" w:hAnsi="Times New Roman" w:cs="Times New Roman"/>
          <w:szCs w:val="24"/>
        </w:rPr>
        <w:t>51,973 in 2018. Allowance disbursements totaled NT$472.24 million in 2019, a 6.8</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increase from NT$442.22 million in 2018.</w:t>
      </w:r>
    </w:p>
    <w:p w14:paraId="2C181B86" w14:textId="5E0A6BB2" w:rsidR="00000B61" w:rsidRPr="00885A57" w:rsidRDefault="004B7217" w:rsidP="000365DE">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44" w:name="_Ref55914922"/>
      <w:r w:rsidRPr="00885A57">
        <w:rPr>
          <w:rFonts w:ascii="Times New Roman" w:eastAsia="標楷體" w:hAnsi="Times New Roman" w:cs="Times New Roman"/>
          <w:szCs w:val="24"/>
        </w:rPr>
        <w:t xml:space="preserve">Promulgated in 2019, the Promotion Project of Preschool Special Education (to be implemented from the 2019 through </w:t>
      </w:r>
      <w:r w:rsidR="001571E2">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2023 academic year) aims to improve teachers’ professional competencies, enhance educational opportunities and </w:t>
      </w:r>
      <w:r w:rsidRPr="00885A57">
        <w:rPr>
          <w:rFonts w:ascii="Times New Roman" w:eastAsia="標楷體" w:hAnsi="Times New Roman" w:cs="Times New Roman"/>
          <w:szCs w:val="24"/>
        </w:rPr>
        <w:lastRenderedPageBreak/>
        <w:t xml:space="preserve">learning outcomes, strengthen support systems and learning environments, and enrich special education resources in remote areas and </w:t>
      </w:r>
      <w:r w:rsidR="00215840" w:rsidRPr="00885A57">
        <w:rPr>
          <w:rFonts w:ascii="Times New Roman" w:eastAsia="標楷體" w:hAnsi="Times New Roman" w:cs="Times New Roman"/>
          <w:szCs w:val="24"/>
        </w:rPr>
        <w:t>offshore</w:t>
      </w:r>
      <w:r w:rsidRPr="00885A57">
        <w:rPr>
          <w:rFonts w:ascii="Times New Roman" w:eastAsia="標楷體" w:hAnsi="Times New Roman" w:cs="Times New Roman"/>
          <w:szCs w:val="24"/>
        </w:rPr>
        <w:t xml:space="preserve"> islands, thereby optimizing preschool education quality, increasing opportunities for young children to receive education, expanding inclusive education, and enhancing learning outcomes and quality.</w:t>
      </w:r>
      <w:bookmarkEnd w:id="44"/>
      <w:r w:rsidRPr="00885A57">
        <w:rPr>
          <w:rStyle w:val="ab"/>
          <w:rFonts w:ascii="Times New Roman" w:eastAsia="標楷體" w:hAnsi="Times New Roman" w:cs="Times New Roman"/>
        </w:rPr>
        <w:footnoteReference w:id="26"/>
      </w:r>
    </w:p>
    <w:p w14:paraId="33E49C54" w14:textId="7EDA7A9A" w:rsidR="005629F2" w:rsidRPr="00885A57" w:rsidRDefault="004B7217" w:rsidP="001A2139">
      <w:pPr>
        <w:pStyle w:val="a7"/>
        <w:numPr>
          <w:ilvl w:val="0"/>
          <w:numId w:val="10"/>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School support and gender equality guarantee</w:t>
      </w:r>
    </w:p>
    <w:p w14:paraId="1FBA4DBD" w14:textId="250C228D" w:rsidR="00B94AAC" w:rsidRPr="00885A57" w:rsidRDefault="004B7217" w:rsidP="000365DE">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To protect the right of CYDs to go to school, the MOE adopted various goals, including improving the identification rate of CYDs and their school attendance, providing for curriculum adjustment, and providing tuition benefits (i.e., exemption from tuition and miscellaneous fees</w:t>
      </w:r>
      <w:r w:rsidR="00E17721">
        <w:rPr>
          <w:rFonts w:ascii="Times New Roman" w:eastAsia="標楷體" w:hAnsi="Times New Roman" w:cs="Times New Roman"/>
          <w:szCs w:val="24"/>
        </w:rPr>
        <w:t xml:space="preserve"> and</w:t>
      </w:r>
      <w:r w:rsidRPr="00885A57">
        <w:rPr>
          <w:rFonts w:ascii="Times New Roman" w:eastAsia="標楷體" w:hAnsi="Times New Roman" w:cs="Times New Roman"/>
          <w:szCs w:val="24"/>
        </w:rPr>
        <w:t xml:space="preserve"> provision of scholarships and grants). To help students with medium to severe disabilities or those with special </w:t>
      </w:r>
      <w:r w:rsidR="00E17721">
        <w:rPr>
          <w:rFonts w:ascii="Times New Roman" w:eastAsia="標楷體" w:hAnsi="Times New Roman" w:cs="Times New Roman"/>
          <w:szCs w:val="24"/>
        </w:rPr>
        <w:t xml:space="preserve">learning </w:t>
      </w:r>
      <w:r w:rsidRPr="00885A57">
        <w:rPr>
          <w:rFonts w:ascii="Times New Roman" w:eastAsia="標楷體" w:hAnsi="Times New Roman" w:cs="Times New Roman"/>
          <w:szCs w:val="24"/>
        </w:rPr>
        <w:t xml:space="preserve">needs, the MOE has proposed increasing the standard hourly pay subsidy for professional staff, the subsidy for </w:t>
      </w:r>
      <w:r w:rsidR="00E17721">
        <w:rPr>
          <w:rFonts w:ascii="Times New Roman" w:eastAsia="標楷體" w:hAnsi="Times New Roman" w:cs="Times New Roman"/>
          <w:szCs w:val="24"/>
        </w:rPr>
        <w:t xml:space="preserve">work in </w:t>
      </w:r>
      <w:r w:rsidRPr="00885A57">
        <w:rPr>
          <w:rFonts w:ascii="Times New Roman" w:eastAsia="標楷體" w:hAnsi="Times New Roman" w:cs="Times New Roman"/>
          <w:szCs w:val="24"/>
        </w:rPr>
        <w:t xml:space="preserve">remote areas, and </w:t>
      </w:r>
      <w:r w:rsidRPr="00951C3C">
        <w:rPr>
          <w:rFonts w:ascii="Times New Roman" w:eastAsia="標楷體" w:hAnsi="Times New Roman" w:cs="Times New Roman"/>
          <w:szCs w:val="24"/>
        </w:rPr>
        <w:t>service frequency</w:t>
      </w:r>
      <w:r w:rsidRPr="00885A57">
        <w:rPr>
          <w:rFonts w:ascii="Times New Roman" w:eastAsia="標楷體" w:hAnsi="Times New Roman" w:cs="Times New Roman"/>
          <w:szCs w:val="24"/>
        </w:rPr>
        <w:t>; through such efforts, the central government can lead and supervise local governments in promoting and providing relevant resources.</w:t>
      </w:r>
    </w:p>
    <w:p w14:paraId="2AADFDAE" w14:textId="5D964D58" w:rsidR="006D59F5" w:rsidRPr="00885A57" w:rsidRDefault="006337C1" w:rsidP="000365DE">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45" w:name="_Ref55903699"/>
      <w:r w:rsidRPr="00885A57">
        <w:rPr>
          <w:rFonts w:ascii="Times New Roman" w:eastAsia="標楷體" w:hAnsi="Times New Roman" w:cs="Times New Roman"/>
        </w:rPr>
        <w:t xml:space="preserve">In the </w:t>
      </w:r>
      <w:r w:rsidRPr="002153DE">
        <w:rPr>
          <w:rFonts w:ascii="Times New Roman" w:eastAsia="標楷體" w:hAnsi="Times New Roman" w:cs="Times New Roman"/>
          <w:iCs/>
        </w:rPr>
        <w:t>Directions for the Ministry of Education Subsidizing Municipalities and County (City) Governments for Disability Education</w:t>
      </w:r>
      <w:r w:rsidRPr="00885A57">
        <w:rPr>
          <w:rFonts w:ascii="Times New Roman" w:eastAsia="標楷體" w:hAnsi="Times New Roman" w:cs="Times New Roman"/>
        </w:rPr>
        <w:t xml:space="preserve">, the base rates for the transportation allowance for itinerant teachers and professionals differ between counties and cities (urban and rural areas) because of varying traffic conditions. Subsides for local governments to handle special education administrative work also vary between counties and cities, with subsidies being higher in remote areas. </w:t>
      </w:r>
      <w:r w:rsidRPr="00885A57">
        <w:rPr>
          <w:rFonts w:ascii="Times New Roman" w:eastAsia="標楷體" w:hAnsi="Times New Roman" w:cs="Times New Roman"/>
        </w:rPr>
        <w:lastRenderedPageBreak/>
        <w:t>Hourly pay for special-education-related professionals serving in remote areas is also scheduled to be increase</w:t>
      </w:r>
      <w:bookmarkEnd w:id="45"/>
      <w:r w:rsidRPr="00885A57">
        <w:rPr>
          <w:rFonts w:ascii="Times New Roman" w:eastAsia="標楷體" w:hAnsi="Times New Roman" w:cs="Times New Roman"/>
        </w:rPr>
        <w:t>d.</w:t>
      </w:r>
      <w:r w:rsidRPr="00885A57">
        <w:rPr>
          <w:rStyle w:val="ab"/>
          <w:rFonts w:ascii="Times New Roman" w:eastAsia="標楷體" w:hAnsi="Times New Roman" w:cs="Times New Roman"/>
        </w:rPr>
        <w:footnoteReference w:id="27"/>
      </w:r>
    </w:p>
    <w:p w14:paraId="0C5615E3" w14:textId="381B7448" w:rsidR="00387954" w:rsidRPr="00885A57" w:rsidRDefault="00E848D4" w:rsidP="000365DE">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46" w:name="_Ref55903731"/>
      <w:r w:rsidRPr="00885A57">
        <w:rPr>
          <w:rFonts w:ascii="Times New Roman" w:eastAsia="標楷體" w:hAnsi="Times New Roman" w:cs="Times New Roman"/>
        </w:rPr>
        <w:t xml:space="preserve">Teaching assistants and special education student assistants shall receive orientation training of 36 hours or more and on-the-job training of </w:t>
      </w:r>
      <w:r w:rsidR="00DE3664" w:rsidRPr="00885A57">
        <w:rPr>
          <w:rFonts w:ascii="Times New Roman" w:eastAsia="標楷體" w:hAnsi="Times New Roman" w:cs="Times New Roman"/>
        </w:rPr>
        <w:t>nine</w:t>
      </w:r>
      <w:r w:rsidRPr="00885A57">
        <w:rPr>
          <w:rFonts w:ascii="Times New Roman" w:eastAsia="標楷體" w:hAnsi="Times New Roman" w:cs="Times New Roman"/>
        </w:rPr>
        <w:t xml:space="preserve"> hours or more. The MOE has collaborated with the MOHW to host </w:t>
      </w:r>
      <w:r w:rsidR="00951C3C">
        <w:rPr>
          <w:rFonts w:ascii="Times New Roman" w:eastAsia="標楷體" w:hAnsi="Times New Roman" w:cs="Times New Roman"/>
        </w:rPr>
        <w:t>a training program on the c</w:t>
      </w:r>
      <w:r w:rsidRPr="00885A57">
        <w:rPr>
          <w:rFonts w:ascii="Times New Roman" w:eastAsia="標楷體" w:hAnsi="Times New Roman" w:cs="Times New Roman"/>
        </w:rPr>
        <w:t xml:space="preserve">leaning, suction, and removal of secretions within the oral cavity (the </w:t>
      </w:r>
      <w:r w:rsidR="00E17721">
        <w:rPr>
          <w:rFonts w:ascii="Times New Roman" w:eastAsia="標楷體" w:hAnsi="Times New Roman" w:cs="Times New Roman"/>
        </w:rPr>
        <w:t xml:space="preserve">portion in front of </w:t>
      </w:r>
      <w:r w:rsidRPr="00885A57">
        <w:rPr>
          <w:rFonts w:ascii="Times New Roman" w:eastAsia="標楷體" w:hAnsi="Times New Roman" w:cs="Times New Roman"/>
        </w:rPr>
        <w:t>the uvula) and artificial airway</w:t>
      </w:r>
      <w:r w:rsidR="00951C3C">
        <w:rPr>
          <w:rFonts w:ascii="Times New Roman" w:eastAsia="標楷體" w:hAnsi="Times New Roman" w:cs="Times New Roman"/>
        </w:rPr>
        <w:t>s</w:t>
      </w:r>
      <w:r w:rsidRPr="00885A57">
        <w:rPr>
          <w:rFonts w:ascii="Times New Roman" w:eastAsia="標楷體" w:hAnsi="Times New Roman" w:cs="Times New Roman"/>
        </w:rPr>
        <w:t xml:space="preserve"> to improve the </w:t>
      </w:r>
      <w:r w:rsidR="00E17721">
        <w:rPr>
          <w:rFonts w:ascii="Times New Roman" w:eastAsia="標楷體" w:hAnsi="Times New Roman" w:cs="Times New Roman"/>
        </w:rPr>
        <w:t xml:space="preserve">abilities </w:t>
      </w:r>
      <w:r w:rsidRPr="00885A57">
        <w:rPr>
          <w:rFonts w:ascii="Times New Roman" w:eastAsia="標楷體" w:hAnsi="Times New Roman" w:cs="Times New Roman"/>
        </w:rPr>
        <w:t>of teaching assistants and special education student assistants.</w:t>
      </w:r>
      <w:bookmarkEnd w:id="46"/>
      <w:r w:rsidRPr="00885A57">
        <w:rPr>
          <w:rStyle w:val="ab"/>
          <w:rFonts w:ascii="Times New Roman" w:eastAsia="標楷體" w:hAnsi="Times New Roman" w:cs="Times New Roman"/>
        </w:rPr>
        <w:footnoteReference w:id="28"/>
      </w:r>
      <w:r w:rsidR="00C348F6" w:rsidRPr="00885A57">
        <w:rPr>
          <w:rFonts w:ascii="Times New Roman" w:eastAsia="標楷體" w:hAnsi="Times New Roman" w:cs="Times New Roman"/>
          <w:szCs w:val="24"/>
        </w:rPr>
        <w:t xml:space="preserve"> </w:t>
      </w:r>
    </w:p>
    <w:p w14:paraId="5D926740" w14:textId="10BCDFA2" w:rsidR="008C752E" w:rsidRPr="00885A57" w:rsidRDefault="00E848D4"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47" w:name="_Ref46414632"/>
      <w:r w:rsidRPr="00885A57">
        <w:rPr>
          <w:rFonts w:ascii="Times New Roman" w:eastAsia="標楷體" w:hAnsi="Times New Roman" w:cs="Times New Roman"/>
          <w:szCs w:val="24"/>
        </w:rPr>
        <w:t xml:space="preserve">Countermeasures against sexual violence incidents involving CYDs on campuses (including </w:t>
      </w:r>
      <w:r w:rsidR="00E17721">
        <w:rPr>
          <w:rFonts w:ascii="Times New Roman" w:eastAsia="標楷體" w:hAnsi="Times New Roman" w:cs="Times New Roman"/>
          <w:szCs w:val="24"/>
        </w:rPr>
        <w:t xml:space="preserve">at </w:t>
      </w:r>
      <w:r w:rsidRPr="00885A57">
        <w:rPr>
          <w:rFonts w:ascii="Times New Roman" w:eastAsia="標楷體" w:hAnsi="Times New Roman" w:cs="Times New Roman"/>
          <w:szCs w:val="24"/>
        </w:rPr>
        <w:t>special education schools)</w:t>
      </w:r>
      <w:r w:rsidRPr="00885A57">
        <w:rPr>
          <w:rStyle w:val="ab"/>
          <w:rFonts w:ascii="Times New Roman" w:eastAsia="標楷體" w:hAnsi="Times New Roman" w:cs="Times New Roman"/>
          <w:szCs w:val="24"/>
        </w:rPr>
        <w:t xml:space="preserve"> </w:t>
      </w:r>
      <w:r w:rsidRPr="00885A57">
        <w:rPr>
          <w:rFonts w:ascii="Times New Roman" w:eastAsia="標楷體" w:hAnsi="Times New Roman" w:cs="Times New Roman"/>
          <w:szCs w:val="24"/>
        </w:rPr>
        <w:t>are as follows</w:t>
      </w:r>
      <w:bookmarkEnd w:id="47"/>
      <w:r w:rsidRPr="00885A57">
        <w:rPr>
          <w:rStyle w:val="ab"/>
          <w:rFonts w:ascii="Times New Roman" w:eastAsia="標楷體" w:hAnsi="Times New Roman" w:cs="Times New Roman"/>
        </w:rPr>
        <w:footnoteReference w:id="29"/>
      </w:r>
      <w:r w:rsidRPr="00885A57">
        <w:rPr>
          <w:rFonts w:ascii="Times New Roman" w:eastAsia="標楷體" w:hAnsi="Times New Roman" w:cs="Times New Roman"/>
          <w:szCs w:val="24"/>
        </w:rPr>
        <w:t>:</w:t>
      </w:r>
    </w:p>
    <w:p w14:paraId="031A5D61" w14:textId="22AAD576" w:rsidR="00E848D4" w:rsidRPr="00885A57" w:rsidRDefault="00E848D4" w:rsidP="001A2139">
      <w:pPr>
        <w:pStyle w:val="a7"/>
        <w:numPr>
          <w:ilvl w:val="2"/>
          <w:numId w:val="8"/>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MOE has requested that all schools </w:t>
      </w:r>
      <w:r w:rsidR="00951C3C">
        <w:rPr>
          <w:rFonts w:ascii="Times New Roman" w:eastAsia="標楷體" w:hAnsi="Times New Roman" w:cs="Times New Roman"/>
          <w:szCs w:val="24"/>
        </w:rPr>
        <w:t xml:space="preserve">concerned </w:t>
      </w:r>
      <w:r w:rsidRPr="00885A57">
        <w:rPr>
          <w:rFonts w:ascii="Times New Roman" w:eastAsia="標楷體" w:hAnsi="Times New Roman" w:cs="Times New Roman"/>
          <w:szCs w:val="24"/>
        </w:rPr>
        <w:t xml:space="preserve">consider students’ disability types and characteristics and invite professionals with a special education background to form an investigative team to help uncover the truth and determine the educational intervention or assistance </w:t>
      </w:r>
      <w:r w:rsidR="00E17721">
        <w:rPr>
          <w:rFonts w:ascii="Times New Roman" w:eastAsia="標楷體" w:hAnsi="Times New Roman" w:cs="Times New Roman"/>
          <w:szCs w:val="24"/>
        </w:rPr>
        <w:t xml:space="preserve">that will meet </w:t>
      </w:r>
      <w:r w:rsidRPr="00885A57">
        <w:rPr>
          <w:rFonts w:ascii="Times New Roman" w:eastAsia="標楷體" w:hAnsi="Times New Roman" w:cs="Times New Roman"/>
          <w:szCs w:val="24"/>
        </w:rPr>
        <w:t>the concerned party’s needs.</w:t>
      </w:r>
    </w:p>
    <w:p w14:paraId="257CF18F" w14:textId="3EC92253" w:rsidR="00E848D4" w:rsidRPr="00885A57" w:rsidRDefault="00E848D4" w:rsidP="001A2139">
      <w:pPr>
        <w:pStyle w:val="a7"/>
        <w:numPr>
          <w:ilvl w:val="2"/>
          <w:numId w:val="8"/>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In 2018, the Project of Gender Inequality Prevention and Gender Empowerment in Special Education Schools was launched to </w:t>
      </w:r>
      <w:r w:rsidR="00E17721">
        <w:rPr>
          <w:rFonts w:ascii="Times New Roman" w:eastAsia="標楷體" w:hAnsi="Times New Roman" w:cs="Times New Roman"/>
          <w:szCs w:val="24"/>
        </w:rPr>
        <w:t xml:space="preserve">help </w:t>
      </w:r>
      <w:r w:rsidRPr="00885A57">
        <w:rPr>
          <w:rFonts w:ascii="Times New Roman" w:eastAsia="標楷體" w:hAnsi="Times New Roman" w:cs="Times New Roman"/>
          <w:szCs w:val="24"/>
        </w:rPr>
        <w:t xml:space="preserve">schools establish student-centered individualized programs that incorporate gender equality education into curricula, teaching, and school policies, thereby enhancing the gender equality competence of </w:t>
      </w:r>
      <w:r w:rsidRPr="00885A57">
        <w:rPr>
          <w:rFonts w:ascii="Times New Roman" w:eastAsia="標楷體" w:hAnsi="Times New Roman" w:cs="Times New Roman"/>
          <w:szCs w:val="24"/>
        </w:rPr>
        <w:lastRenderedPageBreak/>
        <w:t>students.</w:t>
      </w:r>
    </w:p>
    <w:p w14:paraId="073891EF" w14:textId="190A322E" w:rsidR="003A42E4" w:rsidRPr="00885A57" w:rsidRDefault="00E17721" w:rsidP="000365DE">
      <w:pPr>
        <w:pStyle w:val="a7"/>
        <w:numPr>
          <w:ilvl w:val="2"/>
          <w:numId w:val="8"/>
        </w:numPr>
        <w:spacing w:after="120" w:line="360" w:lineRule="auto"/>
        <w:ind w:leftChars="0"/>
        <w:jc w:val="both"/>
        <w:rPr>
          <w:rFonts w:ascii="Times New Roman" w:eastAsia="標楷體" w:hAnsi="Times New Roman" w:cs="Times New Roman"/>
        </w:rPr>
      </w:pPr>
      <w:r>
        <w:rPr>
          <w:rFonts w:ascii="Times New Roman" w:eastAsia="標楷體" w:hAnsi="Times New Roman" w:cs="Times New Roman"/>
          <w:szCs w:val="24"/>
        </w:rPr>
        <w:t>The r</w:t>
      </w:r>
      <w:r w:rsidRPr="00885A57">
        <w:rPr>
          <w:rFonts w:ascii="Times New Roman" w:eastAsia="標楷體" w:hAnsi="Times New Roman" w:cs="Times New Roman"/>
          <w:szCs w:val="24"/>
        </w:rPr>
        <w:t xml:space="preserve">eported </w:t>
      </w:r>
      <w:r w:rsidR="00E848D4" w:rsidRPr="00885A57">
        <w:rPr>
          <w:rFonts w:ascii="Times New Roman" w:eastAsia="標楷體" w:hAnsi="Times New Roman" w:cs="Times New Roman"/>
          <w:szCs w:val="24"/>
        </w:rPr>
        <w:t xml:space="preserve">numbers of sexual violence incidents </w:t>
      </w:r>
      <w:r>
        <w:rPr>
          <w:rFonts w:ascii="Times New Roman" w:eastAsia="標楷體" w:hAnsi="Times New Roman" w:cs="Times New Roman"/>
          <w:szCs w:val="24"/>
        </w:rPr>
        <w:t xml:space="preserve">at </w:t>
      </w:r>
      <w:r w:rsidR="00E848D4" w:rsidRPr="00885A57">
        <w:rPr>
          <w:rFonts w:ascii="Times New Roman" w:eastAsia="標楷體" w:hAnsi="Times New Roman" w:cs="Times New Roman"/>
          <w:szCs w:val="24"/>
        </w:rPr>
        <w:t xml:space="preserve">special education schools were 48, 55, and 37 in 2016, 2017, and 2018, respectively. In the event </w:t>
      </w:r>
      <w:r>
        <w:rPr>
          <w:rFonts w:ascii="Times New Roman" w:eastAsia="標楷體" w:hAnsi="Times New Roman" w:cs="Times New Roman"/>
          <w:szCs w:val="24"/>
        </w:rPr>
        <w:t xml:space="preserve">that a student </w:t>
      </w:r>
      <w:r w:rsidR="00E848D4" w:rsidRPr="00885A57">
        <w:rPr>
          <w:rFonts w:ascii="Times New Roman" w:eastAsia="標楷體" w:hAnsi="Times New Roman" w:cs="Times New Roman"/>
          <w:szCs w:val="24"/>
        </w:rPr>
        <w:t>with disabilities experience</w:t>
      </w:r>
      <w:r>
        <w:rPr>
          <w:rFonts w:ascii="Times New Roman" w:eastAsia="標楷體" w:hAnsi="Times New Roman" w:cs="Times New Roman"/>
          <w:szCs w:val="24"/>
        </w:rPr>
        <w:t>s</w:t>
      </w:r>
      <w:r w:rsidR="00E848D4" w:rsidRPr="00885A57">
        <w:rPr>
          <w:rFonts w:ascii="Times New Roman" w:eastAsia="標楷體" w:hAnsi="Times New Roman" w:cs="Times New Roman"/>
          <w:szCs w:val="24"/>
        </w:rPr>
        <w:t xml:space="preserve"> sexual violence in schools, special education professionals are to be assigned to the investigative team. Various gender equality and self-protection courses as well as relevant guidance measures are included into the Individualized Education Program (hereinafter referred to as IEP). Additionally, a professional team comprising counseling psychologists, clinical psychologists, and licensed social workers is to be formulated to assist the student in question with subsequent guidance and support.</w:t>
      </w:r>
    </w:p>
    <w:p w14:paraId="4D11E548" w14:textId="1698FB85" w:rsidR="005629F2" w:rsidRPr="00885A57" w:rsidRDefault="00E848D4"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To </w:t>
      </w:r>
      <w:r w:rsidR="00E334F0">
        <w:rPr>
          <w:rFonts w:ascii="Times New Roman" w:eastAsia="標楷體" w:hAnsi="Times New Roman" w:cs="Times New Roman"/>
          <w:szCs w:val="24"/>
        </w:rPr>
        <w:t xml:space="preserve">improve </w:t>
      </w:r>
      <w:r w:rsidRPr="00885A57">
        <w:rPr>
          <w:rFonts w:ascii="Times New Roman" w:eastAsia="標楷體" w:hAnsi="Times New Roman" w:cs="Times New Roman"/>
          <w:szCs w:val="24"/>
        </w:rPr>
        <w:t xml:space="preserve">prevention of sexual assault, sexual harassment, and other abuse among prisoners in juvenile correctional institutions, the MOJ promulgated the </w:t>
      </w:r>
      <w:r w:rsidRPr="002153DE">
        <w:rPr>
          <w:rFonts w:ascii="Times New Roman" w:eastAsia="標楷體" w:hAnsi="Times New Roman" w:cs="Times New Roman"/>
          <w:szCs w:val="24"/>
        </w:rPr>
        <w:t>Concrete Measures for Correctional Facilities to Prevent and Process Sexual Assault, Sexual Harassment, and Sexual Bullying of Inmates and associated operational procedures</w:t>
      </w:r>
      <w:r w:rsidRPr="00885A57">
        <w:rPr>
          <w:rFonts w:ascii="Times New Roman" w:eastAsia="標楷體" w:hAnsi="Times New Roman" w:cs="Times New Roman"/>
          <w:szCs w:val="24"/>
        </w:rPr>
        <w:t>. The measures and procedures involve promoting the concept of gender equality and educating corrections personnel and inmates about this concept, strengthening front-end prevention mechanisms such as life counseling, ward allocation management, and physical examination, and establishing clear rules for post</w:t>
      </w:r>
      <w:r w:rsidR="000D5080">
        <w:rPr>
          <w:rFonts w:ascii="Times New Roman" w:eastAsia="標楷體" w:hAnsi="Times New Roman" w:cs="Times New Roman"/>
          <w:szCs w:val="24"/>
        </w:rPr>
        <w:t>-</w:t>
      </w:r>
      <w:r w:rsidRPr="00885A57">
        <w:rPr>
          <w:rFonts w:ascii="Times New Roman" w:eastAsia="標楷體" w:hAnsi="Times New Roman" w:cs="Times New Roman"/>
          <w:szCs w:val="24"/>
        </w:rPr>
        <w:t xml:space="preserve">incident notification, investigation, victim protection (isolation protection, psychological counseling, legal </w:t>
      </w:r>
      <w:r w:rsidR="008F1D78">
        <w:rPr>
          <w:rFonts w:ascii="Times New Roman" w:eastAsia="標楷體" w:hAnsi="Times New Roman" w:cs="Times New Roman"/>
          <w:szCs w:val="24"/>
        </w:rPr>
        <w:t>advice</w:t>
      </w:r>
      <w:r w:rsidRPr="00885A57">
        <w:rPr>
          <w:rFonts w:ascii="Times New Roman" w:eastAsia="標楷體" w:hAnsi="Times New Roman" w:cs="Times New Roman"/>
          <w:szCs w:val="24"/>
        </w:rPr>
        <w:t xml:space="preserve">, wound inspection and evidence collection, and medical services, etc.), privacy </w:t>
      </w:r>
      <w:r w:rsidR="00125534">
        <w:rPr>
          <w:rFonts w:ascii="Times New Roman" w:eastAsia="標楷體" w:hAnsi="Times New Roman" w:cs="Times New Roman"/>
          <w:szCs w:val="24"/>
        </w:rPr>
        <w:t>protection</w:t>
      </w:r>
      <w:r w:rsidRPr="00885A57">
        <w:rPr>
          <w:rFonts w:ascii="Times New Roman" w:eastAsia="標楷體" w:hAnsi="Times New Roman" w:cs="Times New Roman"/>
          <w:szCs w:val="24"/>
        </w:rPr>
        <w:t>, and referral to judicial investigation</w:t>
      </w:r>
      <w:r w:rsidRPr="00885A57">
        <w:rPr>
          <w:rFonts w:ascii="Times New Roman" w:eastAsia="標楷體" w:hAnsi="Times New Roman" w:cs="Times New Roman"/>
        </w:rPr>
        <w:t>.</w:t>
      </w:r>
    </w:p>
    <w:p w14:paraId="4295DC7D" w14:textId="22A0C4CC" w:rsidR="00BC4BFD" w:rsidRPr="00885A57" w:rsidRDefault="00E848D4" w:rsidP="001A2139">
      <w:pPr>
        <w:pStyle w:val="a7"/>
        <w:numPr>
          <w:ilvl w:val="0"/>
          <w:numId w:val="10"/>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lastRenderedPageBreak/>
        <w:t>The right of children with disabilities to be heard</w:t>
      </w:r>
    </w:p>
    <w:p w14:paraId="347B6928" w14:textId="7B299E63" w:rsidR="00634028" w:rsidRPr="00951C3C" w:rsidRDefault="00E848D4" w:rsidP="001A2139">
      <w:pPr>
        <w:pStyle w:val="a7"/>
        <w:numPr>
          <w:ilvl w:val="0"/>
          <w:numId w:val="45"/>
        </w:numPr>
        <w:spacing w:after="120" w:line="360" w:lineRule="auto"/>
        <w:ind w:leftChars="0" w:left="567" w:hanging="567"/>
        <w:jc w:val="both"/>
        <w:rPr>
          <w:rFonts w:ascii="Times New Roman" w:eastAsia="標楷體" w:hAnsi="Times New Roman" w:cs="Times New Roman"/>
        </w:rPr>
      </w:pPr>
      <w:bookmarkStart w:id="48" w:name="_Ref55930329"/>
      <w:r w:rsidRPr="00951C3C">
        <w:rPr>
          <w:rFonts w:ascii="Times New Roman" w:eastAsia="標楷體" w:hAnsi="Times New Roman" w:cs="Times New Roman"/>
          <w:szCs w:val="24"/>
        </w:rPr>
        <w:t xml:space="preserve">In 2019, the </w:t>
      </w:r>
      <w:r w:rsidRPr="00951C3C">
        <w:rPr>
          <w:rFonts w:ascii="Times New Roman" w:eastAsia="標楷體" w:hAnsi="Times New Roman" w:cs="Times New Roman"/>
          <w:iCs/>
          <w:szCs w:val="24"/>
        </w:rPr>
        <w:t>Implementation Act of the Convention on the Rights of the Child</w:t>
      </w:r>
      <w:r w:rsidRPr="00951C3C">
        <w:rPr>
          <w:rFonts w:ascii="Times New Roman" w:eastAsia="標楷體" w:hAnsi="Times New Roman" w:cs="Times New Roman"/>
          <w:szCs w:val="24"/>
        </w:rPr>
        <w:t xml:space="preserve"> was amended and promulgated</w:t>
      </w:r>
      <w:r w:rsidR="00125534" w:rsidRPr="00951C3C">
        <w:rPr>
          <w:rFonts w:ascii="Times New Roman" w:eastAsia="標楷體" w:hAnsi="Times New Roman" w:cs="Times New Roman"/>
          <w:szCs w:val="24"/>
        </w:rPr>
        <w:t xml:space="preserve">. This provides </w:t>
      </w:r>
      <w:r w:rsidRPr="00951C3C">
        <w:rPr>
          <w:rFonts w:ascii="Times New Roman" w:eastAsia="標楷體" w:hAnsi="Times New Roman" w:cs="Times New Roman"/>
          <w:szCs w:val="24"/>
        </w:rPr>
        <w:t xml:space="preserve">that the </w:t>
      </w:r>
      <w:r w:rsidRPr="00951C3C">
        <w:rPr>
          <w:rFonts w:ascii="Times New Roman" w:hAnsi="Times New Roman" w:cs="Times New Roman"/>
          <w:szCs w:val="24"/>
        </w:rPr>
        <w:t>Executive Yuan Task Force for Promoting the Welfare and Rights of Child and Youth</w:t>
      </w:r>
      <w:r w:rsidRPr="00951C3C">
        <w:rPr>
          <w:rFonts w:ascii="Times New Roman" w:eastAsia="標楷體" w:hAnsi="Times New Roman" w:cs="Times New Roman"/>
          <w:szCs w:val="24"/>
        </w:rPr>
        <w:t xml:space="preserve"> include representatives of children and youth who engage in the promotion of relevant policies; the act also </w:t>
      </w:r>
      <w:r w:rsidR="00125534" w:rsidRPr="00951C3C">
        <w:rPr>
          <w:rFonts w:ascii="Times New Roman" w:eastAsia="標楷體" w:hAnsi="Times New Roman" w:cs="Times New Roman"/>
          <w:szCs w:val="24"/>
        </w:rPr>
        <w:t xml:space="preserve">requires </w:t>
      </w:r>
      <w:r w:rsidRPr="00951C3C">
        <w:rPr>
          <w:rFonts w:ascii="Times New Roman" w:eastAsia="標楷體" w:hAnsi="Times New Roman" w:cs="Times New Roman"/>
          <w:szCs w:val="24"/>
        </w:rPr>
        <w:t>local government to promote, encourage, and provide assistance required by CYDs when participating in policy promotion. According to a 2019 survey on the coordination mechanism for direct participation of CYDs in local administrative affairs, seven representatives of CYDs are, on average, appointed to engage in local government affairs, accounting for 1</w:t>
      </w:r>
      <w:r w:rsidR="00951C3C" w:rsidRPr="00951C3C">
        <w:rPr>
          <w:rFonts w:ascii="Times New Roman" w:eastAsia="標楷體" w:hAnsi="Times New Roman" w:cs="Times New Roman"/>
          <w:szCs w:val="24"/>
        </w:rPr>
        <w:t>-</w:t>
      </w:r>
      <w:r w:rsidRPr="00951C3C">
        <w:rPr>
          <w:rFonts w:ascii="Times New Roman" w:eastAsia="標楷體" w:hAnsi="Times New Roman" w:cs="Times New Roman"/>
          <w:szCs w:val="24"/>
        </w:rPr>
        <w:t>2</w:t>
      </w:r>
      <w:r w:rsidR="00787A2A" w:rsidRPr="00951C3C">
        <w:rPr>
          <w:rFonts w:ascii="Times New Roman" w:eastAsia="標楷體" w:hAnsi="Times New Roman" w:cs="Times New Roman"/>
          <w:szCs w:val="24"/>
        </w:rPr>
        <w:t xml:space="preserve"> percent</w:t>
      </w:r>
      <w:r w:rsidRPr="00951C3C">
        <w:rPr>
          <w:rFonts w:ascii="Times New Roman" w:eastAsia="標楷體" w:hAnsi="Times New Roman" w:cs="Times New Roman"/>
          <w:szCs w:val="24"/>
        </w:rPr>
        <w:t xml:space="preserve"> of the total population of CYDs nationwide; this percentage was similar to that (approximately 1.4</w:t>
      </w:r>
      <w:r w:rsidR="00787A2A" w:rsidRPr="00951C3C">
        <w:rPr>
          <w:rFonts w:ascii="Times New Roman" w:eastAsia="標楷體" w:hAnsi="Times New Roman" w:cs="Times New Roman"/>
          <w:szCs w:val="24"/>
        </w:rPr>
        <w:t xml:space="preserve"> percent</w:t>
      </w:r>
      <w:r w:rsidRPr="00951C3C">
        <w:rPr>
          <w:rFonts w:ascii="Times New Roman" w:eastAsia="標楷體" w:hAnsi="Times New Roman" w:cs="Times New Roman"/>
          <w:szCs w:val="24"/>
        </w:rPr>
        <w:t xml:space="preserve">) of CYDs among the total children and youth population in 2019. </w:t>
      </w:r>
      <w:r w:rsidR="00125534" w:rsidRPr="00951C3C">
        <w:rPr>
          <w:rFonts w:ascii="Times New Roman" w:eastAsia="標楷體" w:hAnsi="Times New Roman" w:cs="Times New Roman"/>
          <w:szCs w:val="24"/>
        </w:rPr>
        <w:t xml:space="preserve">As per </w:t>
      </w:r>
      <w:r w:rsidRPr="00951C3C">
        <w:rPr>
          <w:rFonts w:ascii="Times New Roman" w:eastAsia="標楷體" w:hAnsi="Times New Roman" w:cs="Times New Roman"/>
          <w:szCs w:val="24"/>
        </w:rPr>
        <w:t>amendment</w:t>
      </w:r>
      <w:r w:rsidR="00125534" w:rsidRPr="00951C3C">
        <w:rPr>
          <w:rFonts w:ascii="Times New Roman" w:eastAsia="標楷體" w:hAnsi="Times New Roman" w:cs="Times New Roman"/>
          <w:szCs w:val="24"/>
        </w:rPr>
        <w:t>s</w:t>
      </w:r>
      <w:r w:rsidRPr="00951C3C">
        <w:rPr>
          <w:rFonts w:ascii="Times New Roman" w:eastAsia="標楷體" w:hAnsi="Times New Roman" w:cs="Times New Roman"/>
          <w:szCs w:val="24"/>
        </w:rPr>
        <w:t xml:space="preserve"> in 2020, the </w:t>
      </w:r>
      <w:r w:rsidRPr="00951C3C">
        <w:rPr>
          <w:rFonts w:ascii="Times New Roman" w:eastAsia="標楷體" w:hAnsi="Times New Roman" w:cs="Times New Roman"/>
          <w:iCs/>
          <w:szCs w:val="24"/>
        </w:rPr>
        <w:t xml:space="preserve">Enforcement Rules of the Special Education Act </w:t>
      </w:r>
      <w:r w:rsidRPr="00951C3C">
        <w:rPr>
          <w:rFonts w:ascii="Times New Roman" w:eastAsia="標楷體" w:hAnsi="Times New Roman" w:cs="Times New Roman"/>
          <w:szCs w:val="24"/>
        </w:rPr>
        <w:t>provide that students and their parents must be invited to participate in developing their IEPs. For the participation of students with disabilities in IEPs, please refer to Article 24</w:t>
      </w:r>
      <w:r w:rsidR="00951C3C" w:rsidRPr="00F370E0">
        <w:rPr>
          <w:rFonts w:ascii="Times New Roman" w:eastAsia="標楷體" w:hAnsi="Times New Roman" w:cs="Times New Roman"/>
          <w:szCs w:val="24"/>
        </w:rPr>
        <w:t xml:space="preserve">: </w:t>
      </w:r>
      <w:r w:rsidRPr="00951C3C">
        <w:rPr>
          <w:rFonts w:ascii="Times New Roman" w:eastAsia="標楷體" w:hAnsi="Times New Roman" w:cs="Times New Roman"/>
          <w:szCs w:val="24"/>
        </w:rPr>
        <w:t>Education (</w:t>
      </w:r>
      <w:r w:rsidR="006F1055">
        <w:rPr>
          <w:rFonts w:ascii="Times New Roman" w:eastAsia="標楷體" w:hAnsi="Times New Roman" w:cs="Times New Roman"/>
          <w:szCs w:val="24"/>
        </w:rPr>
        <w:t>Point</w:t>
      </w:r>
      <w:r w:rsidR="00951C3C" w:rsidRPr="00F370E0">
        <w:rPr>
          <w:rFonts w:ascii="Times New Roman" w:eastAsia="標楷體" w:hAnsi="Times New Roman" w:cs="Times New Roman"/>
          <w:szCs w:val="24"/>
        </w:rPr>
        <w:t xml:space="preserve"> </w:t>
      </w:r>
      <w:r w:rsidRPr="000A60B9">
        <w:rPr>
          <w:rFonts w:ascii="Times New Roman" w:eastAsia="標楷體" w:hAnsi="Times New Roman" w:cs="Times New Roman"/>
          <w:szCs w:val="24"/>
        </w:rPr>
        <w:fldChar w:fldCharType="begin"/>
      </w:r>
      <w:r w:rsidRPr="00951C3C">
        <w:rPr>
          <w:rFonts w:ascii="Times New Roman" w:eastAsia="標楷體" w:hAnsi="Times New Roman" w:cs="Times New Roman"/>
          <w:szCs w:val="24"/>
        </w:rPr>
        <w:instrText xml:space="preserve"> REF _Ref52267953 \r \h  \* MERGEFORMAT </w:instrText>
      </w:r>
      <w:r w:rsidRPr="000A60B9">
        <w:rPr>
          <w:rFonts w:ascii="Times New Roman" w:eastAsia="標楷體" w:hAnsi="Times New Roman" w:cs="Times New Roman"/>
          <w:szCs w:val="24"/>
        </w:rPr>
      </w:r>
      <w:r w:rsidRPr="000A60B9">
        <w:rPr>
          <w:rFonts w:ascii="Times New Roman" w:eastAsia="標楷體" w:hAnsi="Times New Roman" w:cs="Times New Roman"/>
          <w:szCs w:val="24"/>
        </w:rPr>
        <w:fldChar w:fldCharType="separate"/>
      </w:r>
      <w:r w:rsidR="00F00A73">
        <w:rPr>
          <w:rFonts w:ascii="Times New Roman" w:eastAsia="標楷體" w:hAnsi="Times New Roman" w:cs="Times New Roman"/>
          <w:szCs w:val="24"/>
        </w:rPr>
        <w:t>197</w:t>
      </w:r>
      <w:r w:rsidRPr="000A60B9">
        <w:rPr>
          <w:rFonts w:ascii="Times New Roman" w:eastAsia="標楷體" w:hAnsi="Times New Roman" w:cs="Times New Roman"/>
          <w:szCs w:val="24"/>
        </w:rPr>
        <w:fldChar w:fldCharType="end"/>
      </w:r>
      <w:r w:rsidRPr="00951C3C">
        <w:rPr>
          <w:rFonts w:ascii="Times New Roman" w:eastAsia="標楷體" w:hAnsi="Times New Roman" w:cs="Times New Roman"/>
          <w:szCs w:val="24"/>
        </w:rPr>
        <w:t>).</w:t>
      </w:r>
      <w:bookmarkEnd w:id="48"/>
      <w:r w:rsidRPr="00951C3C">
        <w:rPr>
          <w:rStyle w:val="ab"/>
          <w:rFonts w:ascii="Times New Roman" w:eastAsia="標楷體" w:hAnsi="Times New Roman" w:cs="Times New Roman"/>
        </w:rPr>
        <w:footnoteReference w:id="30"/>
      </w:r>
    </w:p>
    <w:p w14:paraId="56C18BCC" w14:textId="7266E1B6" w:rsidR="00984AFA" w:rsidRPr="00885A57" w:rsidRDefault="00140CB9" w:rsidP="000365DE">
      <w:pPr>
        <w:pStyle w:val="10"/>
        <w:spacing w:after="120" w:line="360" w:lineRule="auto"/>
        <w:rPr>
          <w:rFonts w:ascii="Times New Roman" w:hAnsi="Times New Roman"/>
        </w:rPr>
      </w:pPr>
      <w:bookmarkStart w:id="49" w:name="_Toc73108677"/>
      <w:r w:rsidRPr="00885A57">
        <w:rPr>
          <w:rFonts w:ascii="Times New Roman" w:hAnsi="Times New Roman"/>
        </w:rPr>
        <w:t>Article 8</w:t>
      </w:r>
      <w:bookmarkStart w:id="50" w:name="_Toc55900572"/>
      <w:r w:rsidR="00B645D5" w:rsidRPr="00885A57">
        <w:rPr>
          <w:rFonts w:ascii="Times New Roman" w:hAnsi="Times New Roman"/>
        </w:rPr>
        <w:t xml:space="preserve">: </w:t>
      </w:r>
      <w:r w:rsidRPr="00885A57">
        <w:rPr>
          <w:rFonts w:ascii="Times New Roman" w:hAnsi="Times New Roman"/>
          <w:bCs/>
        </w:rPr>
        <w:t>Awareness</w:t>
      </w:r>
      <w:r w:rsidR="00717E0A">
        <w:rPr>
          <w:rFonts w:ascii="Times New Roman" w:hAnsi="Times New Roman"/>
          <w:bCs/>
        </w:rPr>
        <w:t xml:space="preserve"> </w:t>
      </w:r>
      <w:r w:rsidRPr="00885A57">
        <w:rPr>
          <w:rFonts w:ascii="Times New Roman" w:hAnsi="Times New Roman"/>
          <w:bCs/>
        </w:rPr>
        <w:t>raising</w:t>
      </w:r>
      <w:bookmarkEnd w:id="49"/>
      <w:bookmarkEnd w:id="50"/>
    </w:p>
    <w:p w14:paraId="23DB4D87" w14:textId="34DB6151" w:rsidR="00C62BEE" w:rsidRPr="00885A57" w:rsidRDefault="00E848D4" w:rsidP="000365DE">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51" w:name="_Ref55903755"/>
      <w:r w:rsidRPr="00885A57">
        <w:rPr>
          <w:rFonts w:ascii="Times New Roman" w:eastAsia="標楷體" w:hAnsi="Times New Roman" w:cs="Times New Roman"/>
          <w:szCs w:val="24"/>
        </w:rPr>
        <w:t xml:space="preserve">To combat negative stereotypes of people with disabilities, the government regulates mass media to prevent biased news reports under various acts and relevant regulations. Moreover, public and private sector entities have </w:t>
      </w:r>
      <w:r w:rsidRPr="00885A57">
        <w:rPr>
          <w:rFonts w:ascii="Times New Roman" w:eastAsia="標楷體" w:hAnsi="Times New Roman" w:cs="Times New Roman"/>
          <w:szCs w:val="24"/>
        </w:rPr>
        <w:lastRenderedPageBreak/>
        <w:t>collaborated to organize disability awareness training and campaigns, aiming to increase the understanding of disability as diversity among the public and mass media.</w:t>
      </w:r>
      <w:bookmarkEnd w:id="51"/>
      <w:r w:rsidRPr="00885A57">
        <w:rPr>
          <w:rStyle w:val="ab"/>
          <w:rFonts w:ascii="Times New Roman" w:eastAsia="標楷體" w:hAnsi="Times New Roman" w:cs="Times New Roman"/>
        </w:rPr>
        <w:footnoteReference w:id="31"/>
      </w:r>
    </w:p>
    <w:p w14:paraId="2F39F4C8" w14:textId="2893E304" w:rsidR="00A37A99" w:rsidRPr="00885A57" w:rsidRDefault="00E848D4" w:rsidP="001A2139">
      <w:pPr>
        <w:pStyle w:val="a7"/>
        <w:numPr>
          <w:ilvl w:val="0"/>
          <w:numId w:val="11"/>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Regulations of mass communication media</w:t>
      </w:r>
    </w:p>
    <w:p w14:paraId="44BFFC74" w14:textId="54FD4F0A" w:rsidR="00DF248E" w:rsidRPr="00885A57" w:rsidRDefault="00E848D4" w:rsidP="000365DE">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52" w:name="_Ref55903775"/>
      <w:r w:rsidRPr="00885A57">
        <w:rPr>
          <w:rFonts w:ascii="Times New Roman" w:eastAsia="標楷體" w:hAnsi="Times New Roman" w:cs="Times New Roman"/>
        </w:rPr>
        <w:t xml:space="preserve">To prevent the use of derogatory or discriminatory language in the radio and television industry, the PDRPA and </w:t>
      </w:r>
      <w:r w:rsidRPr="002153DE">
        <w:rPr>
          <w:rFonts w:ascii="Times New Roman" w:eastAsia="標楷體" w:hAnsi="Times New Roman" w:cs="Times New Roman"/>
          <w:iCs/>
        </w:rPr>
        <w:t>Mental Health Act</w:t>
      </w:r>
      <w:r w:rsidRPr="00885A57">
        <w:rPr>
          <w:rFonts w:ascii="Times New Roman" w:eastAsia="標楷體" w:hAnsi="Times New Roman" w:cs="Times New Roman"/>
        </w:rPr>
        <w:t xml:space="preserve"> mandate that discriminative titles or descriptions </w:t>
      </w:r>
      <w:r w:rsidR="00951C3C">
        <w:rPr>
          <w:rFonts w:ascii="Times New Roman" w:eastAsia="標楷體" w:hAnsi="Times New Roman" w:cs="Times New Roman"/>
        </w:rPr>
        <w:t>may</w:t>
      </w:r>
      <w:r w:rsidR="00951C3C" w:rsidRPr="00885A57">
        <w:rPr>
          <w:rFonts w:ascii="Times New Roman" w:eastAsia="標楷體" w:hAnsi="Times New Roman" w:cs="Times New Roman"/>
        </w:rPr>
        <w:t xml:space="preserve"> </w:t>
      </w:r>
      <w:r w:rsidRPr="00885A57">
        <w:rPr>
          <w:rFonts w:ascii="Times New Roman" w:eastAsia="標楷體" w:hAnsi="Times New Roman" w:cs="Times New Roman"/>
        </w:rPr>
        <w:t>not be used and reports that are nonfactual or mislead audiences to discriminate or hold prejudice</w:t>
      </w:r>
      <w:r w:rsidR="00EC1DE6">
        <w:rPr>
          <w:rFonts w:ascii="Times New Roman" w:eastAsia="標楷體" w:hAnsi="Times New Roman" w:cs="Times New Roman"/>
        </w:rPr>
        <w:t>s</w:t>
      </w:r>
      <w:r w:rsidRPr="00885A57">
        <w:rPr>
          <w:rFonts w:ascii="Times New Roman" w:eastAsia="標楷體" w:hAnsi="Times New Roman" w:cs="Times New Roman"/>
        </w:rPr>
        <w:t xml:space="preserve"> against people with disabilities </w:t>
      </w:r>
      <w:r w:rsidR="00EC1DE6">
        <w:rPr>
          <w:rFonts w:ascii="Times New Roman" w:eastAsia="標楷體" w:hAnsi="Times New Roman" w:cs="Times New Roman"/>
        </w:rPr>
        <w:t>are</w:t>
      </w:r>
      <w:r w:rsidR="00EC1DE6" w:rsidRPr="00885A57">
        <w:rPr>
          <w:rFonts w:ascii="Times New Roman" w:eastAsia="標楷體" w:hAnsi="Times New Roman" w:cs="Times New Roman"/>
        </w:rPr>
        <w:t xml:space="preserve"> </w:t>
      </w:r>
      <w:r w:rsidRPr="00885A57">
        <w:rPr>
          <w:rFonts w:ascii="Times New Roman" w:eastAsia="標楷體" w:hAnsi="Times New Roman" w:cs="Times New Roman"/>
        </w:rPr>
        <w:t>not permitted. Channels that broadcast news are required to establish self-regulatory mechanisms, in which external scholars and experts or NGOs participate in the internal inspection of programs and customer complaints with the aim of reducing the occurrence of discriminatory language</w:t>
      </w:r>
      <w:bookmarkEnd w:id="52"/>
      <w:r w:rsidRPr="00885A57">
        <w:rPr>
          <w:rFonts w:ascii="Times New Roman" w:eastAsia="標楷體" w:hAnsi="Times New Roman" w:cs="Times New Roman"/>
        </w:rPr>
        <w:t>.</w:t>
      </w:r>
    </w:p>
    <w:p w14:paraId="3B15BD98" w14:textId="6BDB60D7" w:rsidR="00A37A99" w:rsidRPr="00885A57" w:rsidRDefault="00E848D4" w:rsidP="000365DE">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53" w:name="_Ref55903791"/>
      <w:r w:rsidRPr="00885A57">
        <w:rPr>
          <w:rFonts w:ascii="Times New Roman" w:eastAsia="標楷體" w:hAnsi="Times New Roman" w:cs="Times New Roman"/>
        </w:rPr>
        <w:t xml:space="preserve">The National Communications Commission (NCC) has forwarded the </w:t>
      </w:r>
      <w:r w:rsidRPr="002153DE">
        <w:rPr>
          <w:rFonts w:ascii="Times New Roman" w:eastAsia="標楷體" w:hAnsi="Times New Roman" w:cs="Times New Roman"/>
          <w:iCs/>
        </w:rPr>
        <w:t xml:space="preserve">Code of Media Reporting </w:t>
      </w:r>
      <w:r w:rsidR="00EC1DE6">
        <w:rPr>
          <w:rFonts w:ascii="Times New Roman" w:eastAsia="標楷體" w:hAnsi="Times New Roman" w:cs="Times New Roman"/>
          <w:iCs/>
        </w:rPr>
        <w:t>a</w:t>
      </w:r>
      <w:r w:rsidRPr="002153DE">
        <w:rPr>
          <w:rFonts w:ascii="Times New Roman" w:eastAsia="標楷體" w:hAnsi="Times New Roman" w:cs="Times New Roman"/>
          <w:iCs/>
        </w:rPr>
        <w:t>bout Mental Illness</w:t>
      </w:r>
      <w:r w:rsidRPr="00885A57">
        <w:rPr>
          <w:rFonts w:ascii="Times New Roman" w:eastAsia="標楷體" w:hAnsi="Times New Roman" w:cs="Times New Roman"/>
        </w:rPr>
        <w:t xml:space="preserve"> released by the MOHW to media unions and associations, </w:t>
      </w:r>
      <w:r w:rsidR="00EC1DE6">
        <w:rPr>
          <w:rFonts w:ascii="Times New Roman" w:eastAsia="標楷體" w:hAnsi="Times New Roman" w:cs="Times New Roman"/>
        </w:rPr>
        <w:t xml:space="preserve">requiring </w:t>
      </w:r>
      <w:r w:rsidRPr="00885A57">
        <w:rPr>
          <w:rFonts w:ascii="Times New Roman" w:eastAsia="標楷體" w:hAnsi="Times New Roman" w:cs="Times New Roman"/>
        </w:rPr>
        <w:t>that media businesses adhere to relevant regulations, thereby raising public awareness of issues including the right of people with disabilities to communication</w:t>
      </w:r>
      <w:bookmarkEnd w:id="53"/>
      <w:r w:rsidRPr="00885A57">
        <w:rPr>
          <w:rFonts w:ascii="Times New Roman" w:eastAsia="標楷體" w:hAnsi="Times New Roman" w:cs="Times New Roman"/>
        </w:rPr>
        <w:t>.</w:t>
      </w:r>
    </w:p>
    <w:p w14:paraId="32088F93" w14:textId="7032AE98" w:rsidR="00A37A99" w:rsidRPr="00885A57" w:rsidRDefault="00E848D4"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rPr>
        <w:t xml:space="preserve">Between 2016 and 2019, local governments fined three online platforms for the use of discriminatory language. Cases concerning the use of discriminatory titles or descriptions by those in the radio and television industry and in violation of </w:t>
      </w:r>
      <w:r w:rsidRPr="00885A57">
        <w:rPr>
          <w:rFonts w:ascii="Times New Roman" w:eastAsia="標楷體" w:hAnsi="Times New Roman" w:cs="Times New Roman"/>
        </w:rPr>
        <w:lastRenderedPageBreak/>
        <w:t xml:space="preserve">the </w:t>
      </w:r>
      <w:r w:rsidRPr="002153DE">
        <w:rPr>
          <w:rFonts w:ascii="Times New Roman" w:eastAsia="標楷體" w:hAnsi="Times New Roman" w:cs="Times New Roman"/>
          <w:iCs/>
        </w:rPr>
        <w:t>Mental Health Act</w:t>
      </w:r>
      <w:r w:rsidRPr="00885A57">
        <w:rPr>
          <w:rFonts w:ascii="Times New Roman" w:eastAsia="標楷體" w:hAnsi="Times New Roman" w:cs="Times New Roman"/>
        </w:rPr>
        <w:t xml:space="preserve"> are forwarded to the MOHW by NCC. For cases that potentially violate the PDRPA, the NCC seeks professional advice from the MOHW and submits feedback for discussion by the Consultation Committee on Radio and Television Programs and Advertising, which is composed of experts and scholars from the fields of psychology, social science, and law as well as NGOs composed of people with disabilities or parents of people with disabilities, and civic groups; the results of such discussions are then subject to a final review by the NCC. Between 2016 and 2019, the NCC submitted three cases involving the use of discriminatory language to the </w:t>
      </w:r>
      <w:r w:rsidR="00EC1DE6">
        <w:rPr>
          <w:rFonts w:ascii="Times New Roman" w:eastAsia="標楷體" w:hAnsi="Times New Roman" w:cs="Times New Roman"/>
        </w:rPr>
        <w:t>c</w:t>
      </w:r>
      <w:r w:rsidRPr="00885A57">
        <w:rPr>
          <w:rFonts w:ascii="Times New Roman" w:eastAsia="標楷體" w:hAnsi="Times New Roman" w:cs="Times New Roman"/>
        </w:rPr>
        <w:t>ommittee and resolved to require businesses violating the prohibition of discriminatory language to undertake improvements.</w:t>
      </w:r>
    </w:p>
    <w:p w14:paraId="0D78C5B5" w14:textId="6360E238" w:rsidR="008F363D" w:rsidRPr="00885A57" w:rsidRDefault="00760489" w:rsidP="001A2139">
      <w:pPr>
        <w:pStyle w:val="a7"/>
        <w:numPr>
          <w:ilvl w:val="0"/>
          <w:numId w:val="11"/>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Training in raising awareness of </w:t>
      </w:r>
      <w:r w:rsidR="00EC1DE6" w:rsidRPr="00885A57">
        <w:rPr>
          <w:rFonts w:ascii="Times New Roman" w:eastAsia="標楷體" w:hAnsi="Times New Roman" w:cs="Times New Roman"/>
          <w:szCs w:val="24"/>
        </w:rPr>
        <w:t>disabilit</w:t>
      </w:r>
      <w:r w:rsidR="00EC1DE6">
        <w:rPr>
          <w:rFonts w:ascii="Times New Roman" w:eastAsia="標楷體" w:hAnsi="Times New Roman" w:cs="Times New Roman"/>
          <w:szCs w:val="24"/>
        </w:rPr>
        <w:t>ies</w:t>
      </w:r>
    </w:p>
    <w:p w14:paraId="1D4AB8C4" w14:textId="19335E48" w:rsidR="004F2557" w:rsidRPr="00885A57" w:rsidRDefault="00760489" w:rsidP="000365DE">
      <w:pPr>
        <w:pStyle w:val="a7"/>
        <w:numPr>
          <w:ilvl w:val="0"/>
          <w:numId w:val="45"/>
        </w:numPr>
        <w:spacing w:after="120" w:line="360" w:lineRule="auto"/>
        <w:ind w:leftChars="0" w:left="567" w:hanging="567"/>
        <w:jc w:val="both"/>
        <w:rPr>
          <w:rFonts w:ascii="Times New Roman" w:eastAsia="標楷體" w:hAnsi="Times New Roman" w:cs="Times New Roman"/>
        </w:rPr>
      </w:pPr>
      <w:bookmarkStart w:id="54" w:name="_Ref47539274"/>
      <w:r w:rsidRPr="00885A57">
        <w:rPr>
          <w:rFonts w:ascii="Times New Roman" w:eastAsia="標楷體" w:hAnsi="Times New Roman" w:cs="Times New Roman"/>
        </w:rPr>
        <w:t>Between 2016 and 2019, Taiwan implemented a training scheme on the important principles underlying the CRPD for its senior and executive civil servants to raise their awareness of the rights of people with disabilities and facilitate compliance with the CRPD during policy making, attracting 84,797 participants.</w:t>
      </w:r>
      <w:bookmarkEnd w:id="54"/>
      <w:r w:rsidRPr="00885A57">
        <w:rPr>
          <w:rStyle w:val="ab"/>
          <w:rFonts w:ascii="Times New Roman" w:eastAsia="標楷體" w:hAnsi="Times New Roman" w:cs="Times New Roman"/>
        </w:rPr>
        <w:footnoteReference w:id="32"/>
      </w:r>
    </w:p>
    <w:p w14:paraId="2E3E319A" w14:textId="4FDCD51B" w:rsidR="008F363D" w:rsidRPr="00885A57" w:rsidRDefault="00760489" w:rsidP="000365DE">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55" w:name="_Ref55903893"/>
      <w:r w:rsidRPr="00885A57">
        <w:rPr>
          <w:rFonts w:ascii="Times New Roman" w:eastAsia="標楷體" w:hAnsi="Times New Roman" w:cs="Times New Roman"/>
          <w:szCs w:val="24"/>
        </w:rPr>
        <w:t xml:space="preserve">The Judges Academy annually hosts training programs for judicial personnel to study the protection of </w:t>
      </w:r>
      <w:r w:rsidR="00224824">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rights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Examples of </w:t>
      </w:r>
      <w:r w:rsidR="00224824">
        <w:rPr>
          <w:rFonts w:ascii="Times New Roman" w:eastAsia="標楷體" w:hAnsi="Times New Roman" w:cs="Times New Roman"/>
          <w:szCs w:val="24"/>
        </w:rPr>
        <w:t xml:space="preserve">such </w:t>
      </w:r>
      <w:r w:rsidRPr="00885A57">
        <w:rPr>
          <w:rFonts w:ascii="Times New Roman" w:eastAsia="標楷體" w:hAnsi="Times New Roman" w:cs="Times New Roman"/>
          <w:szCs w:val="24"/>
        </w:rPr>
        <w:t xml:space="preserve">programs include 36-hour and 42-hour courses that were open to judicial personnel in charge of family matters in 2018 and 2019, respectively. Alternative </w:t>
      </w:r>
      <w:r w:rsidRPr="00885A57">
        <w:rPr>
          <w:rFonts w:ascii="Times New Roman" w:eastAsia="標楷體" w:hAnsi="Times New Roman" w:cs="Times New Roman"/>
          <w:szCs w:val="24"/>
        </w:rPr>
        <w:lastRenderedPageBreak/>
        <w:t>courses are arranged for judicial personnel handling criminal cases, and education and training seminars for candidate interpreters (on-the-job training) are organized, including a lecture series on human rights.</w:t>
      </w:r>
      <w:bookmarkEnd w:id="55"/>
      <w:r w:rsidRPr="00885A57">
        <w:rPr>
          <w:rStyle w:val="ab"/>
          <w:rFonts w:ascii="Times New Roman" w:eastAsia="標楷體" w:hAnsi="Times New Roman" w:cs="Times New Roman"/>
          <w:bCs/>
          <w:iCs/>
        </w:rPr>
        <w:footnoteReference w:id="33"/>
      </w:r>
    </w:p>
    <w:p w14:paraId="12DAD48B" w14:textId="2B658926" w:rsidR="009405CC" w:rsidRPr="00885A57" w:rsidRDefault="00760489" w:rsidP="000365DE">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56" w:name="_Ref55903908"/>
      <w:r w:rsidRPr="00885A57">
        <w:rPr>
          <w:rFonts w:ascii="Times New Roman" w:eastAsia="標楷體" w:hAnsi="Times New Roman" w:cs="Times New Roman"/>
          <w:bCs/>
          <w:iCs/>
          <w:szCs w:val="24"/>
        </w:rPr>
        <w:t xml:space="preserve">To increase the </w:t>
      </w:r>
      <w:r w:rsidR="00951C3C">
        <w:rPr>
          <w:rFonts w:ascii="Times New Roman" w:eastAsia="標楷體" w:hAnsi="Times New Roman" w:cs="Times New Roman"/>
          <w:bCs/>
          <w:iCs/>
          <w:szCs w:val="24"/>
        </w:rPr>
        <w:t>understanding</w:t>
      </w:r>
      <w:r w:rsidR="00951C3C" w:rsidRPr="00885A57">
        <w:rPr>
          <w:rFonts w:ascii="Times New Roman" w:eastAsia="標楷體" w:hAnsi="Times New Roman" w:cs="Times New Roman"/>
          <w:bCs/>
          <w:iCs/>
          <w:szCs w:val="24"/>
        </w:rPr>
        <w:t xml:space="preserve"> </w:t>
      </w:r>
      <w:r w:rsidRPr="00885A57">
        <w:rPr>
          <w:rFonts w:ascii="Times New Roman" w:eastAsia="標楷體" w:hAnsi="Times New Roman" w:cs="Times New Roman"/>
          <w:bCs/>
          <w:iCs/>
          <w:szCs w:val="24"/>
        </w:rPr>
        <w:t xml:space="preserve">of law enforcement personnel concerning the rights of people with disabilities and </w:t>
      </w:r>
      <w:r w:rsidR="00224824">
        <w:rPr>
          <w:rFonts w:ascii="Times New Roman" w:eastAsia="標楷體" w:hAnsi="Times New Roman" w:cs="Times New Roman"/>
          <w:bCs/>
          <w:iCs/>
          <w:szCs w:val="24"/>
        </w:rPr>
        <w:t xml:space="preserve">to </w:t>
      </w:r>
      <w:r w:rsidRPr="00885A57">
        <w:rPr>
          <w:rFonts w:ascii="Times New Roman" w:eastAsia="標楷體" w:hAnsi="Times New Roman" w:cs="Times New Roman"/>
          <w:bCs/>
          <w:iCs/>
          <w:szCs w:val="24"/>
        </w:rPr>
        <w:t xml:space="preserve">enable them to apply </w:t>
      </w:r>
      <w:r w:rsidR="00224824">
        <w:rPr>
          <w:rFonts w:ascii="Times New Roman" w:eastAsia="標楷體" w:hAnsi="Times New Roman" w:cs="Times New Roman"/>
          <w:bCs/>
          <w:iCs/>
          <w:szCs w:val="24"/>
        </w:rPr>
        <w:t xml:space="preserve">their </w:t>
      </w:r>
      <w:r w:rsidRPr="00885A57">
        <w:rPr>
          <w:rFonts w:ascii="Times New Roman" w:eastAsia="標楷體" w:hAnsi="Times New Roman" w:cs="Times New Roman"/>
          <w:bCs/>
          <w:iCs/>
          <w:szCs w:val="24"/>
        </w:rPr>
        <w:t xml:space="preserve">knowledge during police interrogations, the MOI has developed CRPD annual training materials, provides data on relevant </w:t>
      </w:r>
      <w:r w:rsidR="002B410E" w:rsidRPr="00885A57">
        <w:rPr>
          <w:rFonts w:ascii="Times New Roman" w:eastAsia="標楷體" w:hAnsi="Times New Roman" w:cs="Times New Roman"/>
          <w:bCs/>
          <w:iCs/>
          <w:szCs w:val="24"/>
        </w:rPr>
        <w:t>integration</w:t>
      </w:r>
      <w:r w:rsidRPr="00885A57">
        <w:rPr>
          <w:rFonts w:ascii="Times New Roman" w:eastAsia="標楷體" w:hAnsi="Times New Roman" w:cs="Times New Roman"/>
          <w:bCs/>
          <w:iCs/>
          <w:szCs w:val="24"/>
        </w:rPr>
        <w:t xml:space="preserve"> processes, requests police units (authorities) nationwide to </w:t>
      </w:r>
      <w:r w:rsidR="00224824">
        <w:rPr>
          <w:rFonts w:ascii="Times New Roman" w:eastAsia="標楷體" w:hAnsi="Times New Roman" w:cs="Times New Roman"/>
          <w:bCs/>
          <w:iCs/>
          <w:szCs w:val="24"/>
        </w:rPr>
        <w:t>improv</w:t>
      </w:r>
      <w:r w:rsidRPr="00885A57">
        <w:rPr>
          <w:rFonts w:ascii="Times New Roman" w:eastAsia="標楷體" w:hAnsi="Times New Roman" w:cs="Times New Roman"/>
          <w:bCs/>
          <w:iCs/>
          <w:szCs w:val="24"/>
        </w:rPr>
        <w:t xml:space="preserve">e promotion of relevant training, and </w:t>
      </w:r>
      <w:r w:rsidR="00465808">
        <w:rPr>
          <w:rFonts w:ascii="Times New Roman" w:eastAsia="標楷體" w:hAnsi="Times New Roman" w:cs="Times New Roman"/>
          <w:bCs/>
          <w:iCs/>
          <w:szCs w:val="24"/>
        </w:rPr>
        <w:t xml:space="preserve">requires </w:t>
      </w:r>
      <w:r w:rsidRPr="00885A57">
        <w:rPr>
          <w:rFonts w:ascii="Times New Roman" w:eastAsia="標楷體" w:hAnsi="Times New Roman" w:cs="Times New Roman"/>
          <w:bCs/>
          <w:iCs/>
          <w:szCs w:val="24"/>
        </w:rPr>
        <w:t xml:space="preserve">compliance with the </w:t>
      </w:r>
      <w:r w:rsidRPr="002153DE">
        <w:rPr>
          <w:rFonts w:ascii="Times New Roman" w:eastAsia="標楷體" w:hAnsi="Times New Roman" w:cs="Times New Roman"/>
          <w:bCs/>
          <w:szCs w:val="24"/>
        </w:rPr>
        <w:t>Code of Criminal Procedure</w:t>
      </w:r>
      <w:r w:rsidRPr="00885A57">
        <w:rPr>
          <w:rFonts w:ascii="Times New Roman" w:eastAsia="標楷體" w:hAnsi="Times New Roman" w:cs="Times New Roman"/>
          <w:bCs/>
          <w:iCs/>
          <w:szCs w:val="24"/>
        </w:rPr>
        <w:t xml:space="preserve">, </w:t>
      </w:r>
      <w:r w:rsidRPr="002153DE">
        <w:rPr>
          <w:rFonts w:ascii="Times New Roman" w:eastAsia="標楷體" w:hAnsi="Times New Roman" w:cs="Times New Roman"/>
          <w:bCs/>
          <w:szCs w:val="24"/>
        </w:rPr>
        <w:t>Domestic Violence Prevention Act</w:t>
      </w:r>
      <w:r w:rsidRPr="00885A57">
        <w:rPr>
          <w:rFonts w:ascii="Times New Roman" w:eastAsia="標楷體" w:hAnsi="Times New Roman" w:cs="Times New Roman"/>
          <w:bCs/>
          <w:iCs/>
          <w:szCs w:val="24"/>
        </w:rPr>
        <w:t xml:space="preserve">, </w:t>
      </w:r>
      <w:r w:rsidRPr="002153DE">
        <w:rPr>
          <w:rFonts w:ascii="Times New Roman" w:eastAsia="標楷體" w:hAnsi="Times New Roman" w:cs="Times New Roman"/>
          <w:bCs/>
          <w:szCs w:val="24"/>
        </w:rPr>
        <w:t>Sexual Assault Crime Prevention Act</w:t>
      </w:r>
      <w:r w:rsidRPr="00885A57">
        <w:rPr>
          <w:rFonts w:ascii="Times New Roman" w:eastAsia="標楷體" w:hAnsi="Times New Roman" w:cs="Times New Roman"/>
          <w:bCs/>
          <w:iCs/>
          <w:szCs w:val="24"/>
        </w:rPr>
        <w:t xml:space="preserve">, and PCYWRA during police interrogation proceedings involving people with disabilities. </w:t>
      </w:r>
      <w:r w:rsidR="002B410E" w:rsidRPr="00885A57">
        <w:rPr>
          <w:rFonts w:ascii="Times New Roman" w:eastAsia="標楷體" w:hAnsi="Times New Roman" w:cs="Times New Roman"/>
          <w:bCs/>
          <w:iCs/>
          <w:szCs w:val="24"/>
        </w:rPr>
        <w:t>Ad</w:t>
      </w:r>
      <w:r w:rsidR="002B410E">
        <w:rPr>
          <w:rFonts w:ascii="Times New Roman" w:eastAsia="標楷體" w:hAnsi="Times New Roman" w:cs="Times New Roman"/>
          <w:bCs/>
          <w:iCs/>
          <w:szCs w:val="24"/>
        </w:rPr>
        <w:t>di</w:t>
      </w:r>
      <w:r w:rsidR="002B410E" w:rsidRPr="00885A57">
        <w:rPr>
          <w:rFonts w:ascii="Times New Roman" w:eastAsia="標楷體" w:hAnsi="Times New Roman" w:cs="Times New Roman"/>
          <w:bCs/>
          <w:iCs/>
          <w:szCs w:val="24"/>
        </w:rPr>
        <w:t>tionally</w:t>
      </w:r>
      <w:r w:rsidRPr="00885A57">
        <w:rPr>
          <w:rFonts w:ascii="Times New Roman" w:eastAsia="標楷體" w:hAnsi="Times New Roman" w:cs="Times New Roman"/>
          <w:bCs/>
          <w:iCs/>
          <w:szCs w:val="24"/>
        </w:rPr>
        <w:t xml:space="preserve">, 18 workshops were </w:t>
      </w:r>
      <w:r w:rsidR="00951C3C">
        <w:rPr>
          <w:rFonts w:ascii="Times New Roman" w:eastAsia="標楷體" w:hAnsi="Times New Roman" w:cs="Times New Roman"/>
          <w:bCs/>
          <w:iCs/>
          <w:szCs w:val="24"/>
        </w:rPr>
        <w:t>held</w:t>
      </w:r>
      <w:r w:rsidR="00951C3C" w:rsidRPr="00885A57">
        <w:rPr>
          <w:rFonts w:ascii="Times New Roman" w:eastAsia="標楷體" w:hAnsi="Times New Roman" w:cs="Times New Roman"/>
          <w:bCs/>
          <w:iCs/>
          <w:szCs w:val="24"/>
        </w:rPr>
        <w:t xml:space="preserve"> </w:t>
      </w:r>
      <w:r w:rsidRPr="00885A57">
        <w:rPr>
          <w:rFonts w:ascii="Times New Roman" w:eastAsia="標楷體" w:hAnsi="Times New Roman" w:cs="Times New Roman"/>
          <w:bCs/>
          <w:iCs/>
          <w:szCs w:val="24"/>
        </w:rPr>
        <w:t xml:space="preserve">for criminal case personnel </w:t>
      </w:r>
      <w:r w:rsidR="00465808">
        <w:rPr>
          <w:rFonts w:ascii="Times New Roman" w:eastAsia="標楷體" w:hAnsi="Times New Roman" w:cs="Times New Roman"/>
          <w:bCs/>
          <w:iCs/>
          <w:szCs w:val="24"/>
        </w:rPr>
        <w:t xml:space="preserve">from </w:t>
      </w:r>
      <w:r w:rsidRPr="00885A57">
        <w:rPr>
          <w:rFonts w:ascii="Times New Roman" w:eastAsia="標楷體" w:hAnsi="Times New Roman" w:cs="Times New Roman"/>
          <w:bCs/>
          <w:iCs/>
          <w:szCs w:val="24"/>
        </w:rPr>
        <w:t>2016</w:t>
      </w:r>
      <w:r w:rsidR="00465808">
        <w:rPr>
          <w:rFonts w:ascii="Times New Roman" w:eastAsia="標楷體" w:hAnsi="Times New Roman" w:cs="Times New Roman"/>
          <w:bCs/>
          <w:iCs/>
          <w:szCs w:val="24"/>
        </w:rPr>
        <w:t xml:space="preserve"> to </w:t>
      </w:r>
      <w:r w:rsidRPr="00885A57">
        <w:rPr>
          <w:rFonts w:ascii="Times New Roman" w:eastAsia="標楷體" w:hAnsi="Times New Roman" w:cs="Times New Roman"/>
          <w:bCs/>
          <w:iCs/>
          <w:szCs w:val="24"/>
        </w:rPr>
        <w:t>2019, attracting 930 trainees for a coverage rate of 30</w:t>
      </w:r>
      <w:r w:rsidR="00787A2A">
        <w:rPr>
          <w:rFonts w:ascii="Times New Roman" w:eastAsia="標楷體" w:hAnsi="Times New Roman" w:cs="Times New Roman"/>
          <w:bCs/>
          <w:iCs/>
          <w:szCs w:val="24"/>
        </w:rPr>
        <w:t xml:space="preserve"> percent</w:t>
      </w:r>
      <w:r w:rsidRPr="00885A57">
        <w:rPr>
          <w:rFonts w:ascii="Times New Roman" w:eastAsia="標楷體" w:hAnsi="Times New Roman" w:cs="Times New Roman"/>
          <w:bCs/>
          <w:iCs/>
          <w:szCs w:val="24"/>
        </w:rPr>
        <w:t xml:space="preserve"> (the target trainees of these workshops were criminal case </w:t>
      </w:r>
      <w:r w:rsidR="00465808">
        <w:rPr>
          <w:rFonts w:ascii="Times New Roman" w:eastAsia="標楷體" w:hAnsi="Times New Roman" w:cs="Times New Roman"/>
          <w:bCs/>
          <w:iCs/>
          <w:szCs w:val="24"/>
        </w:rPr>
        <w:t xml:space="preserve">workers </w:t>
      </w:r>
      <w:r w:rsidRPr="00885A57">
        <w:rPr>
          <w:rFonts w:ascii="Times New Roman" w:eastAsia="標楷體" w:hAnsi="Times New Roman" w:cs="Times New Roman"/>
          <w:bCs/>
          <w:iCs/>
          <w:szCs w:val="24"/>
        </w:rPr>
        <w:t xml:space="preserve">throughout the nation, totaling 3,095 people). The aforementioned workshops familiarize police officers with the importance of protecting the rights of people with disabilities, which will hopefully manifest in an appropriate attitude toward people with disabilities during </w:t>
      </w:r>
      <w:r w:rsidR="00465808">
        <w:rPr>
          <w:rFonts w:ascii="Times New Roman" w:eastAsia="標楷體" w:hAnsi="Times New Roman" w:cs="Times New Roman"/>
          <w:bCs/>
          <w:iCs/>
          <w:szCs w:val="24"/>
        </w:rPr>
        <w:t xml:space="preserve">the </w:t>
      </w:r>
      <w:r w:rsidRPr="00885A57">
        <w:rPr>
          <w:rFonts w:ascii="Times New Roman" w:eastAsia="標楷體" w:hAnsi="Times New Roman" w:cs="Times New Roman"/>
          <w:bCs/>
          <w:iCs/>
          <w:szCs w:val="24"/>
        </w:rPr>
        <w:t>performance of duties and tasks</w:t>
      </w:r>
      <w:bookmarkEnd w:id="56"/>
      <w:r w:rsidRPr="00885A57">
        <w:rPr>
          <w:rFonts w:ascii="Times New Roman" w:eastAsia="標楷體" w:hAnsi="Times New Roman" w:cs="Times New Roman"/>
          <w:iCs/>
          <w:szCs w:val="24"/>
        </w:rPr>
        <w:t>.</w:t>
      </w:r>
    </w:p>
    <w:p w14:paraId="77AAAD8B" w14:textId="15CADFCE" w:rsidR="00415EC2" w:rsidRPr="00885A57" w:rsidRDefault="00760489"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Social work training is provided </w:t>
      </w:r>
      <w:r w:rsidR="00465808">
        <w:rPr>
          <w:rFonts w:ascii="Times New Roman" w:eastAsia="標楷體" w:hAnsi="Times New Roman" w:cs="Times New Roman"/>
          <w:szCs w:val="24"/>
        </w:rPr>
        <w:t xml:space="preserve">to </w:t>
      </w:r>
      <w:r w:rsidRPr="00885A57">
        <w:rPr>
          <w:rFonts w:ascii="Times New Roman" w:eastAsia="標楷體" w:hAnsi="Times New Roman" w:cs="Times New Roman"/>
          <w:szCs w:val="24"/>
        </w:rPr>
        <w:t xml:space="preserve">personnel including civil servants who have passed a certification examination for social workers and comprises an introduction to the PDRPA and CRPD. The </w:t>
      </w:r>
      <w:r w:rsidR="00B41966" w:rsidRPr="00885A57">
        <w:rPr>
          <w:rFonts w:ascii="Times New Roman" w:eastAsia="標楷體" w:hAnsi="Times New Roman" w:cs="Times New Roman"/>
          <w:szCs w:val="24"/>
        </w:rPr>
        <w:t xml:space="preserve">Protective Service Social Worker </w:t>
      </w:r>
      <w:r w:rsidR="00B41966" w:rsidRPr="00885A57">
        <w:rPr>
          <w:rFonts w:ascii="Times New Roman" w:eastAsia="標楷體" w:hAnsi="Times New Roman" w:cs="Times New Roman"/>
          <w:szCs w:val="24"/>
        </w:rPr>
        <w:lastRenderedPageBreak/>
        <w:t>Training Project</w:t>
      </w:r>
      <w:r w:rsidRPr="00885A57">
        <w:rPr>
          <w:rFonts w:ascii="Times New Roman" w:eastAsia="標楷體" w:hAnsi="Times New Roman" w:cs="Times New Roman"/>
          <w:szCs w:val="24"/>
        </w:rPr>
        <w:t xml:space="preserve"> specifies that newly recruited personnel and in-service personnel must complete a training session of</w:t>
      </w:r>
      <w:r w:rsidR="007E377B">
        <w:rPr>
          <w:rFonts w:ascii="Times New Roman" w:eastAsia="標楷體" w:hAnsi="Times New Roman" w:cs="Times New Roman"/>
          <w:szCs w:val="24"/>
        </w:rPr>
        <w:t xml:space="preserve"> a specified number of hours. From 2017 to </w:t>
      </w:r>
      <w:r w:rsidRPr="00885A57">
        <w:rPr>
          <w:rFonts w:ascii="Times New Roman" w:eastAsia="標楷體" w:hAnsi="Times New Roman" w:cs="Times New Roman"/>
          <w:szCs w:val="24"/>
        </w:rPr>
        <w:t>2019, 17 training sessions were hosted (Table 8.1), attracting 1,340 participants in total. In 2019, the Implementation Project of Grade-Based Training for Social Worker (Supervisors) at Social Welfare Service Centers entailed introducing the rights of people with disabilities into courses, aiming to strengthen the professional competencies of social workers when serving said people and improve service quality.</w:t>
      </w:r>
    </w:p>
    <w:p w14:paraId="69D09306" w14:textId="60CE2B79" w:rsidR="00426D3F" w:rsidRPr="00885A57" w:rsidRDefault="00760489" w:rsidP="001A2139">
      <w:pPr>
        <w:pStyle w:val="a7"/>
        <w:numPr>
          <w:ilvl w:val="0"/>
          <w:numId w:val="11"/>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Disability awareness campaigns</w:t>
      </w:r>
    </w:p>
    <w:p w14:paraId="107FA1E5" w14:textId="6F87B5F0" w:rsidR="00791489" w:rsidRPr="00885A57" w:rsidRDefault="00427318" w:rsidP="00736552">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57" w:name="_Ref39064443"/>
      <w:r w:rsidRPr="00885A57">
        <w:rPr>
          <w:rFonts w:ascii="Times New Roman" w:eastAsia="標楷體" w:hAnsi="Times New Roman" w:cs="Times New Roman"/>
          <w:szCs w:val="24"/>
        </w:rPr>
        <w:t xml:space="preserve">Under a human rights model of </w:t>
      </w:r>
      <w:r w:rsidR="00465808" w:rsidRPr="00885A57">
        <w:rPr>
          <w:rFonts w:ascii="Times New Roman" w:eastAsia="標楷體" w:hAnsi="Times New Roman" w:cs="Times New Roman"/>
          <w:szCs w:val="24"/>
        </w:rPr>
        <w:t>disabilit</w:t>
      </w:r>
      <w:r w:rsidR="00465808">
        <w:rPr>
          <w:rFonts w:ascii="Times New Roman" w:eastAsia="標楷體" w:hAnsi="Times New Roman" w:cs="Times New Roman"/>
          <w:szCs w:val="24"/>
        </w:rPr>
        <w:t>ies</w:t>
      </w:r>
      <w:r w:rsidRPr="00885A57">
        <w:rPr>
          <w:rFonts w:ascii="Times New Roman" w:eastAsia="標楷體" w:hAnsi="Times New Roman" w:cs="Times New Roman"/>
          <w:szCs w:val="24"/>
        </w:rPr>
        <w:t xml:space="preserve">, the MOHW has developed training materials, promotion materials, and a battery of tests with items related to the general concept of CRPD. </w:t>
      </w:r>
      <w:r w:rsidR="00465808">
        <w:rPr>
          <w:rFonts w:ascii="Times New Roman" w:eastAsia="標楷體" w:hAnsi="Times New Roman" w:cs="Times New Roman"/>
          <w:szCs w:val="24"/>
        </w:rPr>
        <w:t xml:space="preserve">Workers at </w:t>
      </w:r>
      <w:r w:rsidRPr="00885A57">
        <w:rPr>
          <w:rFonts w:ascii="Times New Roman" w:eastAsia="標楷體" w:hAnsi="Times New Roman" w:cs="Times New Roman"/>
          <w:szCs w:val="24"/>
        </w:rPr>
        <w:t xml:space="preserve">all government agencies handling CRPD matters have received training; </w:t>
      </w:r>
      <w:r w:rsidR="00465808">
        <w:rPr>
          <w:rFonts w:ascii="Times New Roman" w:eastAsia="標楷體" w:hAnsi="Times New Roman" w:cs="Times New Roman"/>
          <w:szCs w:val="24"/>
        </w:rPr>
        <w:t xml:space="preserve">related </w:t>
      </w:r>
      <w:r w:rsidRPr="00885A57">
        <w:rPr>
          <w:rFonts w:ascii="Times New Roman" w:eastAsia="標楷體" w:hAnsi="Times New Roman" w:cs="Times New Roman"/>
          <w:szCs w:val="24"/>
        </w:rPr>
        <w:t xml:space="preserve">materials are available to governments </w:t>
      </w:r>
      <w:r w:rsidR="00465808">
        <w:rPr>
          <w:rFonts w:ascii="Times New Roman" w:eastAsia="標楷體" w:hAnsi="Times New Roman" w:cs="Times New Roman"/>
          <w:szCs w:val="24"/>
        </w:rPr>
        <w:t xml:space="preserve">at </w:t>
      </w:r>
      <w:r w:rsidRPr="00885A57">
        <w:rPr>
          <w:rFonts w:ascii="Times New Roman" w:eastAsia="標楷體" w:hAnsi="Times New Roman" w:cs="Times New Roman"/>
          <w:szCs w:val="24"/>
        </w:rPr>
        <w:t>all levels, people with disabilities, and their representative organizations for jointly promoting the CRPD concepts.</w:t>
      </w:r>
    </w:p>
    <w:p w14:paraId="1D15FF24" w14:textId="456268D8" w:rsidR="001D60D5" w:rsidRPr="00885A57" w:rsidRDefault="00427318" w:rsidP="00736552">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58" w:name="_Ref52263233"/>
      <w:r w:rsidRPr="00885A57">
        <w:rPr>
          <w:rFonts w:ascii="Times New Roman" w:eastAsia="標楷體" w:hAnsi="Times New Roman" w:cs="Times New Roman"/>
        </w:rPr>
        <w:t xml:space="preserve">To educate </w:t>
      </w:r>
      <w:r w:rsidR="00150936">
        <w:rPr>
          <w:rFonts w:ascii="Times New Roman" w:eastAsia="標楷體" w:hAnsi="Times New Roman" w:cs="Times New Roman"/>
        </w:rPr>
        <w:t>children</w:t>
      </w:r>
      <w:r w:rsidRPr="00885A57">
        <w:rPr>
          <w:rFonts w:ascii="Times New Roman" w:eastAsia="標楷體" w:hAnsi="Times New Roman" w:cs="Times New Roman"/>
        </w:rPr>
        <w:t xml:space="preserve"> about diversity beginning in early childhood, schools </w:t>
      </w:r>
      <w:r w:rsidR="00A2375D">
        <w:rPr>
          <w:rFonts w:ascii="Times New Roman" w:eastAsia="標楷體" w:hAnsi="Times New Roman" w:cs="Times New Roman"/>
        </w:rPr>
        <w:t xml:space="preserve">at </w:t>
      </w:r>
      <w:r w:rsidRPr="00885A57">
        <w:rPr>
          <w:rFonts w:ascii="Times New Roman" w:eastAsia="標楷體" w:hAnsi="Times New Roman" w:cs="Times New Roman"/>
        </w:rPr>
        <w:t xml:space="preserve">all levels host in-class </w:t>
      </w:r>
      <w:r w:rsidR="00A2375D">
        <w:rPr>
          <w:rFonts w:ascii="Times New Roman" w:eastAsia="標楷體" w:hAnsi="Times New Roman" w:cs="Times New Roman"/>
        </w:rPr>
        <w:t>informational sessions</w:t>
      </w:r>
      <w:r w:rsidRPr="00885A57">
        <w:rPr>
          <w:rFonts w:ascii="Times New Roman" w:eastAsia="標楷體" w:hAnsi="Times New Roman" w:cs="Times New Roman"/>
        </w:rPr>
        <w:t xml:space="preserve">, encourage coparticipation of students with disabilities </w:t>
      </w:r>
      <w:r w:rsidR="0052067F" w:rsidRPr="00885A57">
        <w:rPr>
          <w:rFonts w:ascii="Times New Roman" w:eastAsia="標楷體" w:hAnsi="Times New Roman" w:cs="Times New Roman"/>
        </w:rPr>
        <w:t xml:space="preserve">and non-disabled students </w:t>
      </w:r>
      <w:r w:rsidRPr="00885A57">
        <w:rPr>
          <w:rFonts w:ascii="Times New Roman" w:eastAsia="標楷體" w:hAnsi="Times New Roman" w:cs="Times New Roman"/>
        </w:rPr>
        <w:t xml:space="preserve">in class, and implement similar activities to </w:t>
      </w:r>
      <w:r w:rsidR="00A2375D">
        <w:rPr>
          <w:rFonts w:ascii="Times New Roman" w:eastAsia="標楷體" w:hAnsi="Times New Roman" w:cs="Times New Roman"/>
        </w:rPr>
        <w:t xml:space="preserve">help </w:t>
      </w:r>
      <w:r w:rsidRPr="00885A57">
        <w:rPr>
          <w:rFonts w:ascii="Times New Roman" w:eastAsia="標楷體" w:hAnsi="Times New Roman" w:cs="Times New Roman"/>
        </w:rPr>
        <w:t>non</w:t>
      </w:r>
      <w:r w:rsidR="00150936">
        <w:rPr>
          <w:rFonts w:ascii="Times New Roman" w:eastAsia="標楷體" w:hAnsi="Times New Roman" w:cs="Times New Roman"/>
        </w:rPr>
        <w:t>-</w:t>
      </w:r>
      <w:r w:rsidRPr="00885A57">
        <w:rPr>
          <w:rFonts w:ascii="Times New Roman" w:eastAsia="標楷體" w:hAnsi="Times New Roman" w:cs="Times New Roman"/>
        </w:rPr>
        <w:t xml:space="preserve">disabled students to understand people with disabilities. Teachers have begun to attend special education workshops to improve their competencies in inclusive education and creating a </w:t>
      </w:r>
      <w:r w:rsidR="000E78BD">
        <w:rPr>
          <w:rFonts w:ascii="Times New Roman" w:eastAsia="標楷體" w:hAnsi="Times New Roman" w:cs="Times New Roman"/>
        </w:rPr>
        <w:t>disabled-friendly</w:t>
      </w:r>
      <w:r w:rsidRPr="00885A57">
        <w:rPr>
          <w:rFonts w:ascii="Times New Roman" w:eastAsia="標楷體" w:hAnsi="Times New Roman" w:cs="Times New Roman"/>
        </w:rPr>
        <w:t xml:space="preserve"> campus. In 2018, the concepts of the right to e</w:t>
      </w:r>
      <w:r w:rsidR="00150936">
        <w:rPr>
          <w:rFonts w:ascii="Times New Roman" w:eastAsia="標楷體" w:hAnsi="Times New Roman" w:cs="Times New Roman"/>
        </w:rPr>
        <w:t xml:space="preserve">qual participation, </w:t>
      </w:r>
      <w:r w:rsidRPr="00885A57">
        <w:rPr>
          <w:rFonts w:ascii="Times New Roman" w:eastAsia="標楷體" w:hAnsi="Times New Roman" w:cs="Times New Roman"/>
        </w:rPr>
        <w:t>accessible environments</w:t>
      </w:r>
      <w:r w:rsidR="00A2375D">
        <w:rPr>
          <w:rFonts w:ascii="Times New Roman" w:eastAsia="標楷體" w:hAnsi="Times New Roman" w:cs="Times New Roman"/>
        </w:rPr>
        <w:t xml:space="preserve">, </w:t>
      </w:r>
      <w:r w:rsidRPr="00885A57">
        <w:rPr>
          <w:rFonts w:ascii="Times New Roman" w:eastAsia="標楷體" w:hAnsi="Times New Roman" w:cs="Times New Roman"/>
        </w:rPr>
        <w:t xml:space="preserve">and sport activities for people with disabilities were used to design two children’s </w:t>
      </w:r>
      <w:r w:rsidRPr="00885A57">
        <w:rPr>
          <w:rFonts w:ascii="Times New Roman" w:eastAsia="標楷體" w:hAnsi="Times New Roman" w:cs="Times New Roman"/>
        </w:rPr>
        <w:lastRenderedPageBreak/>
        <w:t xml:space="preserve">picture books. A reading reflection competition was also held, with 851 participants in total. Furthermore, the picture books were adapted into animated short films, which </w:t>
      </w:r>
      <w:r w:rsidR="00A2375D">
        <w:rPr>
          <w:rFonts w:ascii="Times New Roman" w:eastAsia="標楷體" w:hAnsi="Times New Roman" w:cs="Times New Roman"/>
        </w:rPr>
        <w:t xml:space="preserve">were broadcast </w:t>
      </w:r>
      <w:r w:rsidRPr="00885A57">
        <w:rPr>
          <w:rFonts w:ascii="Times New Roman" w:eastAsia="標楷體" w:hAnsi="Times New Roman" w:cs="Times New Roman"/>
        </w:rPr>
        <w:t xml:space="preserve">2.45 million </w:t>
      </w:r>
      <w:r w:rsidR="00A2375D">
        <w:rPr>
          <w:rFonts w:ascii="Times New Roman" w:eastAsia="標楷體" w:hAnsi="Times New Roman" w:cs="Times New Roman"/>
        </w:rPr>
        <w:t>times on a commissioned basis</w:t>
      </w:r>
      <w:r w:rsidRPr="00885A57">
        <w:rPr>
          <w:rFonts w:ascii="Times New Roman" w:eastAsia="標楷體" w:hAnsi="Times New Roman" w:cs="Times New Roman"/>
        </w:rPr>
        <w:t>. In 2019, four parent</w:t>
      </w:r>
      <w:r w:rsidR="00951C3C">
        <w:rPr>
          <w:rFonts w:ascii="Times New Roman" w:eastAsia="標楷體" w:hAnsi="Times New Roman" w:cs="Times New Roman"/>
        </w:rPr>
        <w:t>-</w:t>
      </w:r>
      <w:r w:rsidRPr="00885A57">
        <w:rPr>
          <w:rFonts w:ascii="Times New Roman" w:eastAsia="標楷體" w:hAnsi="Times New Roman" w:cs="Times New Roman"/>
        </w:rPr>
        <w:t xml:space="preserve">child sessions of presentations of children’s dramas adapted from picture book stories were organized with people with disabilities being invited to campus campaigns, attracting 1,000 </w:t>
      </w:r>
      <w:r w:rsidR="00A2375D">
        <w:rPr>
          <w:rFonts w:ascii="Times New Roman" w:eastAsia="標楷體" w:hAnsi="Times New Roman" w:cs="Times New Roman"/>
        </w:rPr>
        <w:t xml:space="preserve">sets </w:t>
      </w:r>
      <w:r w:rsidRPr="00885A57">
        <w:rPr>
          <w:rFonts w:ascii="Times New Roman" w:eastAsia="標楷體" w:hAnsi="Times New Roman" w:cs="Times New Roman"/>
        </w:rPr>
        <w:t>of parents and children in total.</w:t>
      </w:r>
      <w:bookmarkEnd w:id="58"/>
      <w:r w:rsidRPr="00885A57">
        <w:rPr>
          <w:rStyle w:val="ab"/>
          <w:rFonts w:ascii="Times New Roman" w:eastAsia="標楷體" w:hAnsi="Times New Roman" w:cs="Times New Roman"/>
        </w:rPr>
        <w:footnoteReference w:id="34"/>
      </w:r>
    </w:p>
    <w:p w14:paraId="77F4C3EA" w14:textId="26C8D875" w:rsidR="00142595" w:rsidRPr="00885A57" w:rsidRDefault="00427318" w:rsidP="00736552">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59" w:name="_Ref52263238"/>
      <w:r w:rsidRPr="00885A57">
        <w:rPr>
          <w:rFonts w:ascii="Times New Roman" w:eastAsia="標楷體" w:hAnsi="Times New Roman" w:cs="Times New Roman"/>
          <w:szCs w:val="24"/>
        </w:rPr>
        <w:t xml:space="preserve">The MOE declares human rights education crucial in the </w:t>
      </w:r>
      <w:r w:rsidRPr="002153DE">
        <w:rPr>
          <w:rFonts w:ascii="Times New Roman" w:eastAsia="標楷體" w:hAnsi="Times New Roman" w:cs="Times New Roman"/>
          <w:iCs/>
          <w:szCs w:val="24"/>
        </w:rPr>
        <w:t xml:space="preserve">Curriculum Guidelines </w:t>
      </w:r>
      <w:r w:rsidR="00951C3C">
        <w:rPr>
          <w:rFonts w:ascii="Times New Roman" w:eastAsia="標楷體" w:hAnsi="Times New Roman" w:cs="Times New Roman"/>
          <w:iCs/>
          <w:szCs w:val="24"/>
        </w:rPr>
        <w:t xml:space="preserve">for </w:t>
      </w:r>
      <w:r w:rsidRPr="002153DE">
        <w:rPr>
          <w:rFonts w:ascii="Times New Roman" w:eastAsia="標楷體" w:hAnsi="Times New Roman" w:cs="Times New Roman"/>
          <w:iCs/>
          <w:szCs w:val="24"/>
        </w:rPr>
        <w:t>12-Year Basic Education: General Guidelines</w:t>
      </w:r>
      <w:r w:rsidRPr="00885A57">
        <w:rPr>
          <w:rFonts w:ascii="Times New Roman" w:eastAsia="標楷體" w:hAnsi="Times New Roman" w:cs="Times New Roman"/>
          <w:szCs w:val="24"/>
        </w:rPr>
        <w:t xml:space="preserve">. By </w:t>
      </w:r>
      <w:r w:rsidR="00951C3C">
        <w:rPr>
          <w:rFonts w:ascii="Times New Roman" w:eastAsia="標楷體" w:hAnsi="Times New Roman" w:cs="Times New Roman"/>
          <w:szCs w:val="24"/>
        </w:rPr>
        <w:t xml:space="preserve">creating </w:t>
      </w:r>
      <w:r w:rsidRPr="00885A57">
        <w:rPr>
          <w:rFonts w:ascii="Times New Roman" w:eastAsia="標楷體" w:hAnsi="Times New Roman" w:cs="Times New Roman"/>
          <w:szCs w:val="24"/>
        </w:rPr>
        <w:t xml:space="preserve">curricula </w:t>
      </w:r>
      <w:r w:rsidR="00951C3C">
        <w:rPr>
          <w:rFonts w:ascii="Times New Roman" w:eastAsia="標楷體" w:hAnsi="Times New Roman" w:cs="Times New Roman"/>
          <w:szCs w:val="24"/>
        </w:rPr>
        <w:t xml:space="preserve">for </w:t>
      </w:r>
      <w:r w:rsidRPr="00885A57">
        <w:rPr>
          <w:rFonts w:ascii="Times New Roman" w:eastAsia="標楷體" w:hAnsi="Times New Roman" w:cs="Times New Roman"/>
          <w:szCs w:val="24"/>
        </w:rPr>
        <w:t>elementary and junior</w:t>
      </w:r>
      <w:r w:rsidR="00951C3C">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high </w:t>
      </w:r>
      <w:r w:rsidR="00951C3C">
        <w:rPr>
          <w:rFonts w:ascii="Times New Roman" w:eastAsia="標楷體" w:hAnsi="Times New Roman" w:cs="Times New Roman"/>
          <w:szCs w:val="24"/>
        </w:rPr>
        <w:t xml:space="preserve">schools </w:t>
      </w:r>
      <w:r w:rsidRPr="00885A57">
        <w:rPr>
          <w:rFonts w:ascii="Times New Roman" w:eastAsia="標楷體" w:hAnsi="Times New Roman" w:cs="Times New Roman"/>
          <w:szCs w:val="24"/>
        </w:rPr>
        <w:t xml:space="preserve">and implementing the tertiary counseling system, the MOE continues to </w:t>
      </w:r>
      <w:r w:rsidR="00220F43">
        <w:rPr>
          <w:rFonts w:ascii="Times New Roman" w:eastAsia="標楷體" w:hAnsi="Times New Roman" w:cs="Times New Roman"/>
          <w:szCs w:val="24"/>
        </w:rPr>
        <w:t xml:space="preserve">help </w:t>
      </w:r>
      <w:r w:rsidRPr="00885A57">
        <w:rPr>
          <w:rFonts w:ascii="Times New Roman" w:eastAsia="標楷體" w:hAnsi="Times New Roman" w:cs="Times New Roman"/>
          <w:szCs w:val="24"/>
        </w:rPr>
        <w:t>the Counseling Group for Human Rights Education to hold human rights</w:t>
      </w:r>
      <w:r w:rsidR="00220F43">
        <w:rPr>
          <w:rFonts w:ascii="Times New Roman" w:eastAsia="標楷體" w:hAnsi="Times New Roman" w:cs="Times New Roman"/>
          <w:szCs w:val="24"/>
        </w:rPr>
        <w:t>-</w:t>
      </w:r>
      <w:r w:rsidRPr="00885A57">
        <w:rPr>
          <w:rFonts w:ascii="Times New Roman" w:eastAsia="標楷體" w:hAnsi="Times New Roman" w:cs="Times New Roman"/>
          <w:szCs w:val="24"/>
        </w:rPr>
        <w:t>focused educational events, including member growth activities, county (city) workshops, district alliance exchange activities, annual seminars, and regional seminars. The MOE hosted 20 and 16 such activities in 2018 and 2019, respectively, with nearly 600 participants each year</w:t>
      </w:r>
      <w:bookmarkEnd w:id="57"/>
      <w:bookmarkEnd w:id="59"/>
      <w:r w:rsidRPr="00885A57">
        <w:rPr>
          <w:rFonts w:ascii="Times New Roman" w:eastAsia="標楷體" w:hAnsi="Times New Roman" w:cs="Times New Roman"/>
        </w:rPr>
        <w:t>.</w:t>
      </w:r>
    </w:p>
    <w:p w14:paraId="7D15BE4B" w14:textId="63425A7F" w:rsidR="00426D3F" w:rsidRPr="00903321" w:rsidRDefault="00427318"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0A60B9">
        <w:rPr>
          <w:rFonts w:ascii="Times New Roman" w:eastAsia="標楷體" w:hAnsi="Times New Roman" w:cs="Times New Roman"/>
          <w:szCs w:val="24"/>
        </w:rPr>
        <w:t>To increase understanding of disability culture among the public and mass media, the MOHW subsidizes local governments and social welfare organizations to jointly host CRPD awareness-raising campaigns each year (Table 8.2). Between 2015 and 2019, the ministry annually</w:t>
      </w:r>
      <w:r w:rsidRPr="00903321">
        <w:rPr>
          <w:rFonts w:ascii="Times New Roman" w:eastAsia="標楷體" w:hAnsi="Times New Roman" w:cs="Times New Roman"/>
          <w:szCs w:val="24"/>
        </w:rPr>
        <w:t xml:space="preserve"> subsidized 420 such ev</w:t>
      </w:r>
      <w:r w:rsidRPr="000A60B9">
        <w:rPr>
          <w:rFonts w:ascii="Times New Roman" w:eastAsia="標楷體" w:hAnsi="Times New Roman" w:cs="Times New Roman"/>
          <w:szCs w:val="24"/>
        </w:rPr>
        <w:t xml:space="preserve">ents, spending an amount totaling approximately NT$14 million. For example, the MOHW subsidized </w:t>
      </w:r>
      <w:r w:rsidR="00883A0A" w:rsidRPr="000A60B9">
        <w:rPr>
          <w:rFonts w:ascii="Times New Roman" w:eastAsia="標楷體" w:hAnsi="Times New Roman" w:cs="Times New Roman"/>
          <w:szCs w:val="24"/>
        </w:rPr>
        <w:t>disabled people’s organizations</w:t>
      </w:r>
      <w:r w:rsidRPr="000A60B9">
        <w:rPr>
          <w:rFonts w:ascii="Times New Roman" w:eastAsia="標楷體" w:hAnsi="Times New Roman" w:cs="Times New Roman"/>
          <w:szCs w:val="24"/>
        </w:rPr>
        <w:t xml:space="preserve"> (hereinafter referred to as DPOs) to </w:t>
      </w:r>
      <w:r w:rsidRPr="000A60B9">
        <w:rPr>
          <w:rFonts w:ascii="Times New Roman" w:eastAsia="標楷體" w:hAnsi="Times New Roman" w:cs="Times New Roman"/>
          <w:szCs w:val="24"/>
        </w:rPr>
        <w:lastRenderedPageBreak/>
        <w:t xml:space="preserve">shoot three documentaries centering on the daily life of a woman with visual impairment in 2018, a man with </w:t>
      </w:r>
      <w:r w:rsidR="000A60B9">
        <w:rPr>
          <w:rFonts w:ascii="Times New Roman" w:eastAsia="標楷體" w:hAnsi="Times New Roman" w:cs="Times New Roman"/>
          <w:szCs w:val="24"/>
        </w:rPr>
        <w:t xml:space="preserve">a </w:t>
      </w:r>
      <w:r w:rsidRPr="000A60B9">
        <w:rPr>
          <w:rFonts w:ascii="Times New Roman" w:eastAsia="標楷體" w:hAnsi="Times New Roman" w:cs="Times New Roman"/>
          <w:szCs w:val="24"/>
        </w:rPr>
        <w:t>psychosocial disability, and a pupil with physical disabilities</w:t>
      </w:r>
      <w:r w:rsidRPr="00903321">
        <w:rPr>
          <w:rFonts w:ascii="Times New Roman" w:eastAsia="標楷體" w:hAnsi="Times New Roman" w:cs="Times New Roman"/>
          <w:szCs w:val="24"/>
        </w:rPr>
        <w:t>; the three documentaries have been shared by 1,339 accounts on social media platforms.</w:t>
      </w:r>
    </w:p>
    <w:p w14:paraId="4ACE9134" w14:textId="24205A32" w:rsidR="00C86A1B" w:rsidRPr="00885A57" w:rsidRDefault="00427318" w:rsidP="00736552">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promote the importance of respecting the rights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Taiwan continues to produce films, publications, and radio programs focusing on inclusive education, creating </w:t>
      </w:r>
      <w:r w:rsidR="006A7BC1" w:rsidRPr="00885A57">
        <w:rPr>
          <w:rFonts w:ascii="Times New Roman" w:eastAsia="標楷體" w:hAnsi="Times New Roman" w:cs="Times New Roman"/>
          <w:szCs w:val="24"/>
        </w:rPr>
        <w:t>an</w:t>
      </w:r>
      <w:r w:rsidRPr="00885A57">
        <w:rPr>
          <w:rFonts w:ascii="Times New Roman" w:eastAsia="標楷體" w:hAnsi="Times New Roman" w:cs="Times New Roman"/>
          <w:szCs w:val="24"/>
        </w:rPr>
        <w:t xml:space="preserve"> inclusive campus, and preventing workplace discrimination. The government also gives out the Golden Wingspan Award and the Golden Eagle Award: A Celebration</w:t>
      </w:r>
      <w:r w:rsidRPr="00885A57">
        <w:rPr>
          <w:rFonts w:ascii="Times New Roman" w:eastAsia="標楷體" w:hAnsi="Times New Roman" w:cs="Times New Roman"/>
          <w:szCs w:val="24"/>
          <w:shd w:val="clear" w:color="auto" w:fill="FFFFFF"/>
        </w:rPr>
        <w:t xml:space="preserve"> of </w:t>
      </w:r>
      <w:r w:rsidRPr="00885A57">
        <w:rPr>
          <w:rFonts w:ascii="Times New Roman" w:eastAsia="標楷體" w:hAnsi="Times New Roman" w:cs="Times New Roman"/>
          <w:szCs w:val="24"/>
        </w:rPr>
        <w:t xml:space="preserve">Excellent </w:t>
      </w:r>
      <w:r w:rsidR="00AF1C06">
        <w:rPr>
          <w:rFonts w:ascii="Times New Roman" w:eastAsia="標楷體" w:hAnsi="Times New Roman" w:cs="Times New Roman"/>
          <w:kern w:val="0"/>
          <w:szCs w:val="24"/>
        </w:rPr>
        <w:t>P</w:t>
      </w:r>
      <w:r w:rsidR="00AF1C06" w:rsidRPr="00885A57">
        <w:rPr>
          <w:rFonts w:ascii="Times New Roman" w:eastAsia="標楷體" w:hAnsi="Times New Roman" w:cs="Times New Roman"/>
          <w:kern w:val="0"/>
          <w:szCs w:val="24"/>
        </w:rPr>
        <w:t>eople</w:t>
      </w:r>
      <w:r w:rsidR="00AF1C06"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with Disabilities to convey to the public that disability can be part of everybody’s </w:t>
      </w:r>
      <w:r w:rsidR="00034859" w:rsidRPr="00885A57">
        <w:rPr>
          <w:rFonts w:ascii="Times New Roman" w:eastAsia="標楷體" w:hAnsi="Times New Roman" w:cs="Times New Roman"/>
          <w:szCs w:val="24"/>
        </w:rPr>
        <w:t>life</w:t>
      </w:r>
      <w:r w:rsidR="00034859">
        <w:rPr>
          <w:rFonts w:ascii="Times New Roman" w:eastAsia="標楷體" w:hAnsi="Times New Roman" w:cs="Times New Roman"/>
          <w:szCs w:val="24"/>
        </w:rPr>
        <w:t xml:space="preserve"> that</w:t>
      </w:r>
      <w:r w:rsidR="00903321">
        <w:rPr>
          <w:rFonts w:ascii="Times New Roman" w:eastAsia="標楷體" w:hAnsi="Times New Roman" w:cs="Times New Roman" w:hint="eastAsia"/>
          <w:szCs w:val="24"/>
        </w:rPr>
        <w:t xml:space="preserve"> </w:t>
      </w:r>
      <w:r w:rsidRPr="00885A57">
        <w:rPr>
          <w:rFonts w:ascii="Times New Roman" w:eastAsia="標楷體" w:hAnsi="Times New Roman" w:cs="Times New Roman"/>
          <w:szCs w:val="24"/>
        </w:rPr>
        <w:t xml:space="preserve">stereotypes about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must be avoided, and </w:t>
      </w:r>
      <w:r w:rsidR="00AF1C06">
        <w:rPr>
          <w:rFonts w:ascii="Times New Roman" w:eastAsia="標楷體" w:hAnsi="Times New Roman" w:cs="Times New Roman"/>
          <w:szCs w:val="24"/>
        </w:rPr>
        <w:t xml:space="preserve">that </w:t>
      </w:r>
      <w:r w:rsidRPr="00885A57">
        <w:rPr>
          <w:rFonts w:ascii="Times New Roman" w:eastAsia="標楷體" w:hAnsi="Times New Roman" w:cs="Times New Roman"/>
          <w:szCs w:val="24"/>
        </w:rPr>
        <w:t>is imperative to respect one another.</w:t>
      </w:r>
    </w:p>
    <w:p w14:paraId="74B36962" w14:textId="0026B95B" w:rsidR="008A0985" w:rsidRPr="00885A57" w:rsidRDefault="00106070" w:rsidP="00736552">
      <w:pPr>
        <w:pStyle w:val="10"/>
        <w:spacing w:after="120" w:line="360" w:lineRule="auto"/>
        <w:rPr>
          <w:rFonts w:ascii="Times New Roman" w:hAnsi="Times New Roman"/>
        </w:rPr>
      </w:pPr>
      <w:bookmarkStart w:id="60" w:name="_Toc73108678"/>
      <w:r w:rsidRPr="00885A57">
        <w:rPr>
          <w:rFonts w:ascii="Times New Roman" w:hAnsi="Times New Roman"/>
        </w:rPr>
        <w:t>Article 9</w:t>
      </w:r>
      <w:bookmarkStart w:id="61" w:name="_Toc55900574"/>
      <w:r w:rsidR="00B645D5" w:rsidRPr="00885A57">
        <w:rPr>
          <w:rFonts w:ascii="Times New Roman" w:hAnsi="Times New Roman"/>
        </w:rPr>
        <w:t xml:space="preserve">: </w:t>
      </w:r>
      <w:r w:rsidRPr="00885A57">
        <w:rPr>
          <w:rFonts w:ascii="Times New Roman" w:hAnsi="Times New Roman"/>
          <w:bCs/>
        </w:rPr>
        <w:t>Accessibility</w:t>
      </w:r>
      <w:bookmarkEnd w:id="60"/>
      <w:r w:rsidR="007329CF" w:rsidRPr="00885A57">
        <w:rPr>
          <w:rFonts w:ascii="Times New Roman" w:hAnsi="Times New Roman"/>
          <w:bCs/>
        </w:rPr>
        <w:tab/>
      </w:r>
      <w:r w:rsidR="007329CF" w:rsidRPr="00885A57">
        <w:rPr>
          <w:rFonts w:ascii="Times New Roman" w:hAnsi="Times New Roman"/>
          <w:bCs/>
        </w:rPr>
        <w:tab/>
      </w:r>
      <w:r w:rsidR="007329CF" w:rsidRPr="00885A57">
        <w:rPr>
          <w:rFonts w:ascii="Times New Roman" w:hAnsi="Times New Roman"/>
          <w:bCs/>
        </w:rPr>
        <w:tab/>
      </w:r>
      <w:r w:rsidR="007329CF" w:rsidRPr="00885A57">
        <w:rPr>
          <w:rFonts w:ascii="Times New Roman" w:hAnsi="Times New Roman"/>
          <w:bCs/>
        </w:rPr>
        <w:tab/>
      </w:r>
      <w:r w:rsidR="007329CF" w:rsidRPr="00885A57">
        <w:rPr>
          <w:rFonts w:ascii="Times New Roman" w:hAnsi="Times New Roman"/>
          <w:bCs/>
        </w:rPr>
        <w:tab/>
      </w:r>
      <w:r w:rsidR="007329CF" w:rsidRPr="00885A57">
        <w:rPr>
          <w:rFonts w:ascii="Times New Roman" w:hAnsi="Times New Roman"/>
          <w:bCs/>
        </w:rPr>
        <w:tab/>
      </w:r>
      <w:r w:rsidR="007329CF" w:rsidRPr="00885A57">
        <w:rPr>
          <w:rFonts w:ascii="Times New Roman" w:hAnsi="Times New Roman"/>
          <w:bCs/>
        </w:rPr>
        <w:tab/>
      </w:r>
      <w:r w:rsidR="007329CF" w:rsidRPr="00885A57">
        <w:rPr>
          <w:rFonts w:ascii="Times New Roman" w:hAnsi="Times New Roman"/>
          <w:bCs/>
        </w:rPr>
        <w:tab/>
      </w:r>
      <w:r w:rsidR="007329CF" w:rsidRPr="00885A57">
        <w:rPr>
          <w:rFonts w:ascii="Times New Roman" w:hAnsi="Times New Roman"/>
          <w:bCs/>
        </w:rPr>
        <w:tab/>
      </w:r>
      <w:bookmarkEnd w:id="61"/>
    </w:p>
    <w:p w14:paraId="7A6ECD69" w14:textId="624C0D59" w:rsidR="009B4852" w:rsidRPr="00226854" w:rsidRDefault="00C66759" w:rsidP="00736552">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62" w:name="_Ref38307756"/>
      <w:r w:rsidRPr="00226854">
        <w:rPr>
          <w:rFonts w:ascii="Times New Roman" w:eastAsia="標楷體" w:hAnsi="Times New Roman" w:cs="Times New Roman"/>
          <w:szCs w:val="24"/>
        </w:rPr>
        <w:t xml:space="preserve">Taiwan promulgated the </w:t>
      </w:r>
      <w:r w:rsidRPr="00226854">
        <w:rPr>
          <w:rFonts w:ascii="Times New Roman" w:eastAsia="標楷體" w:hAnsi="Times New Roman" w:cs="Times New Roman"/>
          <w:iCs/>
          <w:szCs w:val="24"/>
        </w:rPr>
        <w:t>Physically and Mentally Disabled Citizens Protection Act</w:t>
      </w:r>
      <w:r w:rsidRPr="00226854">
        <w:rPr>
          <w:rFonts w:ascii="Times New Roman" w:eastAsia="標楷體" w:hAnsi="Times New Roman" w:cs="Times New Roman"/>
          <w:szCs w:val="24"/>
        </w:rPr>
        <w:t xml:space="preserve"> in 1997, providing a strong legal basis for the establishment of accessible environments. Competent authorities in the fields of </w:t>
      </w:r>
      <w:r w:rsidR="00226854">
        <w:rPr>
          <w:rFonts w:ascii="Times New Roman" w:eastAsia="標楷體" w:hAnsi="Times New Roman" w:cs="Times New Roman"/>
          <w:szCs w:val="24"/>
        </w:rPr>
        <w:t>c</w:t>
      </w:r>
      <w:r w:rsidRPr="00226854">
        <w:rPr>
          <w:rFonts w:ascii="Times New Roman" w:eastAsia="標楷體" w:hAnsi="Times New Roman" w:cs="Times New Roman"/>
          <w:szCs w:val="24"/>
        </w:rPr>
        <w:t xml:space="preserve">onstruction, </w:t>
      </w:r>
      <w:r w:rsidR="00903321">
        <w:rPr>
          <w:rFonts w:ascii="Times New Roman" w:eastAsia="標楷體" w:hAnsi="Times New Roman" w:cs="Times New Roman"/>
          <w:szCs w:val="24"/>
        </w:rPr>
        <w:t>s</w:t>
      </w:r>
      <w:r w:rsidRPr="00226854">
        <w:rPr>
          <w:rFonts w:ascii="Times New Roman" w:eastAsia="標楷體" w:hAnsi="Times New Roman" w:cs="Times New Roman"/>
          <w:szCs w:val="24"/>
        </w:rPr>
        <w:t xml:space="preserve">ocial welfare, </w:t>
      </w:r>
      <w:r w:rsidR="00226854">
        <w:rPr>
          <w:rFonts w:ascii="Times New Roman" w:eastAsia="標楷體" w:hAnsi="Times New Roman" w:cs="Times New Roman"/>
          <w:szCs w:val="24"/>
        </w:rPr>
        <w:t>e</w:t>
      </w:r>
      <w:r w:rsidRPr="00226854">
        <w:rPr>
          <w:rFonts w:ascii="Times New Roman" w:eastAsia="標楷體" w:hAnsi="Times New Roman" w:cs="Times New Roman"/>
          <w:szCs w:val="24"/>
        </w:rPr>
        <w:t xml:space="preserve">ducation, </w:t>
      </w:r>
      <w:r w:rsidR="00226854">
        <w:rPr>
          <w:rFonts w:ascii="Times New Roman" w:eastAsia="標楷體" w:hAnsi="Times New Roman" w:cs="Times New Roman"/>
          <w:szCs w:val="24"/>
        </w:rPr>
        <w:t>h</w:t>
      </w:r>
      <w:r w:rsidRPr="00226854">
        <w:rPr>
          <w:rFonts w:ascii="Times New Roman" w:eastAsia="標楷體" w:hAnsi="Times New Roman" w:cs="Times New Roman"/>
          <w:szCs w:val="24"/>
        </w:rPr>
        <w:t xml:space="preserve">ealth </w:t>
      </w:r>
      <w:r w:rsidR="00226854">
        <w:rPr>
          <w:rFonts w:ascii="Times New Roman" w:eastAsia="標楷體" w:hAnsi="Times New Roman" w:cs="Times New Roman"/>
          <w:szCs w:val="24"/>
        </w:rPr>
        <w:t>c</w:t>
      </w:r>
      <w:r w:rsidRPr="00226854">
        <w:rPr>
          <w:rFonts w:ascii="Times New Roman" w:eastAsia="標楷體" w:hAnsi="Times New Roman" w:cs="Times New Roman"/>
          <w:szCs w:val="24"/>
        </w:rPr>
        <w:t xml:space="preserve">are, and </w:t>
      </w:r>
      <w:r w:rsidR="00226854">
        <w:rPr>
          <w:rFonts w:ascii="Times New Roman" w:eastAsia="標楷體" w:hAnsi="Times New Roman" w:cs="Times New Roman"/>
          <w:szCs w:val="24"/>
        </w:rPr>
        <w:t>t</w:t>
      </w:r>
      <w:r w:rsidRPr="00226854">
        <w:rPr>
          <w:rFonts w:ascii="Times New Roman" w:eastAsia="標楷體" w:hAnsi="Times New Roman" w:cs="Times New Roman"/>
          <w:szCs w:val="24"/>
        </w:rPr>
        <w:t xml:space="preserve">ransportation </w:t>
      </w:r>
      <w:r w:rsidR="00903321">
        <w:rPr>
          <w:rFonts w:ascii="Times New Roman" w:eastAsia="標楷體" w:hAnsi="Times New Roman" w:cs="Times New Roman"/>
          <w:szCs w:val="24"/>
        </w:rPr>
        <w:t xml:space="preserve">supervise and improve </w:t>
      </w:r>
      <w:r w:rsidRPr="00226854">
        <w:rPr>
          <w:rFonts w:ascii="Times New Roman" w:eastAsia="標楷體" w:hAnsi="Times New Roman" w:cs="Times New Roman"/>
          <w:szCs w:val="24"/>
        </w:rPr>
        <w:t>provision of such accessible environments</w:t>
      </w:r>
      <w:r w:rsidR="00903321">
        <w:rPr>
          <w:rFonts w:ascii="Times New Roman" w:eastAsia="標楷體" w:hAnsi="Times New Roman" w:cs="Times New Roman"/>
          <w:szCs w:val="24"/>
        </w:rPr>
        <w:t>. L</w:t>
      </w:r>
      <w:r w:rsidRPr="00226854">
        <w:rPr>
          <w:rFonts w:ascii="Times New Roman" w:eastAsia="標楷體" w:hAnsi="Times New Roman" w:cs="Times New Roman"/>
          <w:szCs w:val="24"/>
        </w:rPr>
        <w:t xml:space="preserve">ocal governments are to convene committees responsible for promoting </w:t>
      </w:r>
      <w:r w:rsidR="00903321">
        <w:rPr>
          <w:rFonts w:ascii="Times New Roman" w:eastAsia="標楷體" w:hAnsi="Times New Roman" w:cs="Times New Roman"/>
          <w:szCs w:val="24"/>
        </w:rPr>
        <w:t xml:space="preserve">the construction of </w:t>
      </w:r>
      <w:r w:rsidRPr="00226854">
        <w:rPr>
          <w:rFonts w:ascii="Times New Roman" w:eastAsia="標楷體" w:hAnsi="Times New Roman" w:cs="Times New Roman"/>
          <w:szCs w:val="24"/>
        </w:rPr>
        <w:t>accessible environment</w:t>
      </w:r>
      <w:r w:rsidR="00903321">
        <w:rPr>
          <w:rFonts w:ascii="Times New Roman" w:eastAsia="標楷體" w:hAnsi="Times New Roman" w:cs="Times New Roman"/>
          <w:szCs w:val="24"/>
        </w:rPr>
        <w:t>s</w:t>
      </w:r>
      <w:r w:rsidRPr="00226854">
        <w:rPr>
          <w:rFonts w:ascii="Times New Roman" w:eastAsia="標楷體" w:hAnsi="Times New Roman" w:cs="Times New Roman"/>
          <w:szCs w:val="24"/>
        </w:rPr>
        <w:t>.</w:t>
      </w:r>
      <w:bookmarkEnd w:id="62"/>
      <w:r w:rsidRPr="00226854">
        <w:rPr>
          <w:rStyle w:val="ab"/>
          <w:rFonts w:ascii="Times New Roman" w:eastAsia="標楷體" w:hAnsi="Times New Roman" w:cs="Times New Roman"/>
          <w:szCs w:val="28"/>
        </w:rPr>
        <w:footnoteReference w:id="35"/>
      </w:r>
    </w:p>
    <w:p w14:paraId="07CB2D7C" w14:textId="7BE4242D" w:rsidR="009E4FE3" w:rsidRPr="00885A57" w:rsidRDefault="000E010B" w:rsidP="001A2139">
      <w:pPr>
        <w:pStyle w:val="a7"/>
        <w:numPr>
          <w:ilvl w:val="0"/>
          <w:numId w:val="7"/>
        </w:numPr>
        <w:spacing w:after="120" w:line="360" w:lineRule="auto"/>
        <w:ind w:leftChars="0"/>
        <w:jc w:val="both"/>
        <w:rPr>
          <w:rFonts w:ascii="Times New Roman" w:eastAsia="標楷體" w:hAnsi="Times New Roman" w:cs="Times New Roman"/>
          <w:bCs/>
        </w:rPr>
      </w:pPr>
      <w:r w:rsidRPr="00885A57">
        <w:rPr>
          <w:rFonts w:ascii="Times New Roman" w:eastAsia="標楷體" w:hAnsi="Times New Roman" w:cs="Times New Roman"/>
          <w:bCs/>
        </w:rPr>
        <w:t>Building and environment</w:t>
      </w:r>
    </w:p>
    <w:p w14:paraId="52F420A1" w14:textId="59CB9AC8" w:rsidR="00DF248E" w:rsidRPr="00885A57" w:rsidRDefault="000E010B" w:rsidP="00736552">
      <w:pPr>
        <w:pStyle w:val="a7"/>
        <w:numPr>
          <w:ilvl w:val="0"/>
          <w:numId w:val="45"/>
        </w:numPr>
        <w:spacing w:after="120" w:line="360" w:lineRule="auto"/>
        <w:ind w:leftChars="0" w:left="567" w:hanging="567"/>
        <w:jc w:val="both"/>
        <w:rPr>
          <w:rFonts w:ascii="Times New Roman" w:eastAsia="標楷體" w:hAnsi="Times New Roman" w:cs="Times New Roman"/>
          <w:sz w:val="22"/>
          <w:szCs w:val="24"/>
        </w:rPr>
      </w:pPr>
      <w:r w:rsidRPr="00885A57">
        <w:rPr>
          <w:rFonts w:ascii="Times New Roman" w:eastAsia="標楷體" w:hAnsi="Times New Roman" w:cs="Times New Roman"/>
          <w:szCs w:val="24"/>
        </w:rPr>
        <w:t xml:space="preserve">In accordance with the original </w:t>
      </w:r>
      <w:r w:rsidRPr="002153DE">
        <w:rPr>
          <w:rFonts w:ascii="Times New Roman" w:eastAsia="標楷體" w:hAnsi="Times New Roman" w:cs="Times New Roman"/>
          <w:iCs/>
          <w:szCs w:val="24"/>
        </w:rPr>
        <w:t>Welfare Act</w:t>
      </w:r>
      <w:r w:rsidRPr="00885A57">
        <w:rPr>
          <w:rFonts w:ascii="Times New Roman" w:eastAsia="標楷體" w:hAnsi="Times New Roman" w:cs="Times New Roman"/>
          <w:szCs w:val="24"/>
        </w:rPr>
        <w:t xml:space="preserve"> for </w:t>
      </w:r>
      <w:r w:rsidR="00903321">
        <w:rPr>
          <w:rFonts w:ascii="Times New Roman" w:eastAsia="標楷體" w:hAnsi="Times New Roman" w:cs="Times New Roman"/>
          <w:kern w:val="0"/>
          <w:szCs w:val="24"/>
        </w:rPr>
        <w:t>P</w:t>
      </w:r>
      <w:r w:rsidR="00903321" w:rsidRPr="00885A57">
        <w:rPr>
          <w:rFonts w:ascii="Times New Roman" w:eastAsia="標楷體" w:hAnsi="Times New Roman" w:cs="Times New Roman"/>
          <w:kern w:val="0"/>
          <w:szCs w:val="24"/>
        </w:rPr>
        <w:t>eople</w:t>
      </w:r>
      <w:r w:rsidR="00903321"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with Disabilities, the MOI </w:t>
      </w:r>
      <w:r w:rsidRPr="00885A57">
        <w:rPr>
          <w:rFonts w:ascii="Times New Roman" w:eastAsia="標楷體" w:hAnsi="Times New Roman" w:cs="Times New Roman"/>
          <w:szCs w:val="24"/>
        </w:rPr>
        <w:lastRenderedPageBreak/>
        <w:t xml:space="preserve">has mandated that 14 types of new public buildings </w:t>
      </w:r>
      <w:r w:rsidR="006E3327">
        <w:rPr>
          <w:rFonts w:ascii="Times New Roman" w:eastAsia="標楷體" w:hAnsi="Times New Roman" w:cs="Times New Roman"/>
          <w:szCs w:val="24"/>
        </w:rPr>
        <w:t xml:space="preserve">have </w:t>
      </w:r>
      <w:r w:rsidRPr="00885A57">
        <w:rPr>
          <w:rFonts w:ascii="Times New Roman" w:eastAsia="標楷體" w:hAnsi="Times New Roman" w:cs="Times New Roman"/>
          <w:szCs w:val="24"/>
        </w:rPr>
        <w:t xml:space="preserve">accessible facilities since 1988, </w:t>
      </w:r>
      <w:r w:rsidR="00D13E21">
        <w:rPr>
          <w:rFonts w:ascii="Times New Roman" w:eastAsia="標楷體" w:hAnsi="Times New Roman" w:cs="Times New Roman"/>
          <w:szCs w:val="24"/>
        </w:rPr>
        <w:t xml:space="preserve">has </w:t>
      </w:r>
      <w:r w:rsidRPr="00885A57">
        <w:rPr>
          <w:rFonts w:ascii="Times New Roman" w:eastAsia="標楷體" w:hAnsi="Times New Roman" w:cs="Times New Roman"/>
          <w:szCs w:val="24"/>
        </w:rPr>
        <w:t xml:space="preserve">refused to grant a construction license to those failing to meet </w:t>
      </w:r>
      <w:r w:rsidR="00D13E21">
        <w:rPr>
          <w:rFonts w:ascii="Times New Roman" w:eastAsia="標楷體" w:hAnsi="Times New Roman" w:cs="Times New Roman"/>
          <w:szCs w:val="24"/>
        </w:rPr>
        <w:t xml:space="preserve">this </w:t>
      </w:r>
      <w:r w:rsidR="006E3327">
        <w:rPr>
          <w:rFonts w:ascii="Times New Roman" w:eastAsia="標楷體" w:hAnsi="Times New Roman" w:cs="Times New Roman"/>
          <w:szCs w:val="24"/>
        </w:rPr>
        <w:t>regulation</w:t>
      </w:r>
      <w:r w:rsidR="00D13E21">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and </w:t>
      </w:r>
      <w:r w:rsidR="006E3327">
        <w:rPr>
          <w:rFonts w:ascii="Times New Roman" w:eastAsia="標楷體" w:hAnsi="Times New Roman" w:cs="Times New Roman"/>
          <w:szCs w:val="24"/>
        </w:rPr>
        <w:t xml:space="preserve">has </w:t>
      </w:r>
      <w:r w:rsidRPr="00885A57">
        <w:rPr>
          <w:rFonts w:ascii="Times New Roman" w:eastAsia="標楷體" w:hAnsi="Times New Roman" w:cs="Times New Roman"/>
          <w:szCs w:val="24"/>
        </w:rPr>
        <w:t xml:space="preserve">gradually expanded the applicable scope. Since 2013, the regulation has been expanded to </w:t>
      </w:r>
      <w:r w:rsidR="006E3327">
        <w:rPr>
          <w:rFonts w:ascii="Times New Roman" w:eastAsia="標楷體" w:hAnsi="Times New Roman" w:cs="Times New Roman"/>
          <w:szCs w:val="24"/>
        </w:rPr>
        <w:t xml:space="preserve">require </w:t>
      </w:r>
      <w:r w:rsidRPr="00885A57">
        <w:rPr>
          <w:rFonts w:ascii="Times New Roman" w:eastAsia="標楷體" w:hAnsi="Times New Roman" w:cs="Times New Roman"/>
          <w:szCs w:val="24"/>
        </w:rPr>
        <w:t xml:space="preserve">the </w:t>
      </w:r>
      <w:r w:rsidR="006E3327">
        <w:rPr>
          <w:rFonts w:ascii="Times New Roman" w:eastAsia="標楷體" w:hAnsi="Times New Roman" w:cs="Times New Roman"/>
          <w:szCs w:val="24"/>
        </w:rPr>
        <w:t xml:space="preserve">building </w:t>
      </w:r>
      <w:r w:rsidRPr="00885A57">
        <w:rPr>
          <w:rFonts w:ascii="Times New Roman" w:eastAsia="標楷體" w:hAnsi="Times New Roman" w:cs="Times New Roman"/>
          <w:szCs w:val="24"/>
        </w:rPr>
        <w:t xml:space="preserve">of accessible facilities in newly constructed public and nonpublic buildings and additions to </w:t>
      </w:r>
      <w:r w:rsidR="006E3327">
        <w:rPr>
          <w:rFonts w:ascii="Times New Roman" w:eastAsia="標楷體" w:hAnsi="Times New Roman" w:cs="Times New Roman"/>
          <w:szCs w:val="24"/>
        </w:rPr>
        <w:t>such structures</w:t>
      </w:r>
      <w:r w:rsidRPr="00885A57">
        <w:rPr>
          <w:rFonts w:ascii="Times New Roman" w:eastAsia="標楷體" w:hAnsi="Times New Roman" w:cs="Times New Roman"/>
          <w:szCs w:val="24"/>
        </w:rPr>
        <w:t xml:space="preserve">. The MOI, aiming to promote the improvement of accessible facilities in public buildings, has invited experts, scholars, relevant </w:t>
      </w:r>
      <w:r w:rsidR="00D13E21">
        <w:rPr>
          <w:rFonts w:ascii="Times New Roman" w:eastAsia="標楷體" w:hAnsi="Times New Roman" w:cs="Times New Roman"/>
          <w:szCs w:val="24"/>
        </w:rPr>
        <w:t>agencies</w:t>
      </w:r>
      <w:r w:rsidRPr="00885A57">
        <w:rPr>
          <w:rFonts w:ascii="Times New Roman" w:eastAsia="標楷體" w:hAnsi="Times New Roman" w:cs="Times New Roman"/>
          <w:szCs w:val="24"/>
        </w:rPr>
        <w:t xml:space="preserve">,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and their representative organizations to sit on the Committee for Supervising the Accessibility of Living Environments in Public Buildings since 2004. The committee is responsible for supervising local governments in the inspection and improvement of facilities. The number of cases</w:t>
      </w:r>
      <w:r w:rsidR="00447AE4" w:rsidRPr="00885A57">
        <w:rPr>
          <w:rFonts w:ascii="Times New Roman" w:eastAsia="標楷體" w:hAnsi="Times New Roman" w:cs="Times New Roman"/>
          <w:szCs w:val="24"/>
        </w:rPr>
        <w:t xml:space="preserve"> on the government </w:t>
      </w:r>
      <w:r w:rsidR="006A7BC1" w:rsidRPr="00885A57">
        <w:rPr>
          <w:rFonts w:ascii="Times New Roman" w:eastAsia="標楷體" w:hAnsi="Times New Roman" w:cs="Times New Roman"/>
          <w:szCs w:val="24"/>
        </w:rPr>
        <w:t>watch list</w:t>
      </w:r>
      <w:r w:rsidRPr="00885A57">
        <w:rPr>
          <w:rFonts w:ascii="Times New Roman" w:eastAsia="標楷體" w:hAnsi="Times New Roman" w:cs="Times New Roman"/>
          <w:szCs w:val="24"/>
        </w:rPr>
        <w:t xml:space="preserve"> was 51,380 (Table 9.1) in 2019, with 62</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them having </w:t>
      </w:r>
      <w:r w:rsidR="00253555" w:rsidRPr="00885A57">
        <w:rPr>
          <w:rFonts w:ascii="Times New Roman" w:eastAsia="標楷體" w:hAnsi="Times New Roman" w:cs="Times New Roman"/>
          <w:szCs w:val="24"/>
        </w:rPr>
        <w:t xml:space="preserve">completed </w:t>
      </w:r>
      <w:r w:rsidRPr="00885A57">
        <w:rPr>
          <w:rFonts w:ascii="Times New Roman" w:eastAsia="標楷體" w:hAnsi="Times New Roman" w:cs="Times New Roman"/>
          <w:szCs w:val="24"/>
        </w:rPr>
        <w:t>improve</w:t>
      </w:r>
      <w:r w:rsidR="00253555" w:rsidRPr="00885A57">
        <w:rPr>
          <w:rFonts w:ascii="Times New Roman" w:eastAsia="標楷體" w:hAnsi="Times New Roman" w:cs="Times New Roman"/>
          <w:szCs w:val="24"/>
        </w:rPr>
        <w:t>ment</w:t>
      </w:r>
      <w:r w:rsidR="00E413EC">
        <w:rPr>
          <w:rFonts w:ascii="Times New Roman" w:eastAsia="標楷體" w:hAnsi="Times New Roman" w:cs="Times New Roman"/>
          <w:szCs w:val="24"/>
        </w:rPr>
        <w:t>(s)</w:t>
      </w:r>
      <w:r w:rsidRPr="00885A57">
        <w:rPr>
          <w:rFonts w:ascii="Times New Roman" w:eastAsia="標楷體" w:hAnsi="Times New Roman" w:cs="Times New Roman"/>
          <w:szCs w:val="24"/>
        </w:rPr>
        <w:t xml:space="preserve"> by December of the same year, </w:t>
      </w:r>
      <w:r w:rsidR="00E413EC">
        <w:rPr>
          <w:rFonts w:ascii="Times New Roman" w:eastAsia="標楷體" w:hAnsi="Times New Roman" w:cs="Times New Roman"/>
          <w:szCs w:val="24"/>
        </w:rPr>
        <w:t xml:space="preserve">for </w:t>
      </w:r>
      <w:r w:rsidRPr="00885A57">
        <w:rPr>
          <w:rFonts w:ascii="Times New Roman" w:eastAsia="標楷體" w:hAnsi="Times New Roman" w:cs="Times New Roman"/>
          <w:szCs w:val="24"/>
        </w:rPr>
        <w:t>a completion rate 12</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higher than that in 2016. Plans call for existing buildings to be improved according to categories, stages, and regions. Between 2016 and 2019, the MOI issued subsidies totaling NT$259.17 million for </w:t>
      </w:r>
      <w:r w:rsidR="007D777A" w:rsidRPr="00885A57">
        <w:rPr>
          <w:rFonts w:ascii="Times New Roman" w:eastAsia="標楷體" w:hAnsi="Times New Roman" w:cs="Times New Roman"/>
          <w:szCs w:val="24"/>
        </w:rPr>
        <w:t>pavement leveling</w:t>
      </w:r>
      <w:r w:rsidRPr="00885A57">
        <w:rPr>
          <w:rFonts w:ascii="Times New Roman" w:eastAsia="標楷體" w:hAnsi="Times New Roman" w:cs="Times New Roman"/>
          <w:szCs w:val="24"/>
        </w:rPr>
        <w:t xml:space="preserve"> projects </w:t>
      </w:r>
      <w:r w:rsidR="007D777A" w:rsidRPr="00885A57">
        <w:rPr>
          <w:rFonts w:ascii="Times New Roman" w:eastAsia="標楷體" w:hAnsi="Times New Roman" w:cs="Times New Roman"/>
          <w:szCs w:val="24"/>
        </w:rPr>
        <w:t>in</w:t>
      </w:r>
      <w:r w:rsidRPr="00885A57">
        <w:rPr>
          <w:rFonts w:ascii="Times New Roman" w:eastAsia="標楷體" w:hAnsi="Times New Roman" w:cs="Times New Roman"/>
          <w:szCs w:val="24"/>
        </w:rPr>
        <w:t xml:space="preserve"> pedestrian arcades (Table 9.2); structures requiring immediate improvement were prioritized, including arcades in commercial districts, hospitals, scenic routes, public transit transfer stations, and community routes to schools.</w:t>
      </w:r>
    </w:p>
    <w:p w14:paraId="3DF1F605" w14:textId="0DCF5DA5" w:rsidR="00507E5E" w:rsidRPr="00885A57" w:rsidRDefault="000E010B" w:rsidP="00736552">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w:t>
      </w:r>
      <w:r w:rsidRPr="002153DE">
        <w:rPr>
          <w:rFonts w:ascii="Times New Roman" w:eastAsia="標楷體" w:hAnsi="Times New Roman" w:cs="Times New Roman"/>
          <w:iCs/>
          <w:szCs w:val="24"/>
        </w:rPr>
        <w:t>Implementation Regulations of Central Urban Regeneration Fund Subsidies for Self-Renewal Projects</w:t>
      </w:r>
      <w:r w:rsidRPr="00885A57">
        <w:rPr>
          <w:rFonts w:ascii="Times New Roman" w:eastAsia="標楷體" w:hAnsi="Times New Roman" w:cs="Times New Roman"/>
          <w:szCs w:val="24"/>
        </w:rPr>
        <w:t xml:space="preserve"> allow for simultaneous application for urban renewal subsidies and accessible facilit</w:t>
      </w:r>
      <w:r w:rsidR="0038219F" w:rsidRPr="00885A57">
        <w:rPr>
          <w:rFonts w:ascii="Times New Roman" w:eastAsia="標楷體" w:hAnsi="Times New Roman" w:cs="Times New Roman"/>
          <w:szCs w:val="24"/>
        </w:rPr>
        <w:t xml:space="preserve">y </w:t>
      </w:r>
      <w:r w:rsidR="00AF0E75" w:rsidRPr="00885A57">
        <w:rPr>
          <w:rFonts w:ascii="Times New Roman" w:eastAsia="標楷體" w:hAnsi="Times New Roman" w:cs="Times New Roman"/>
          <w:szCs w:val="24"/>
        </w:rPr>
        <w:t>or</w:t>
      </w:r>
      <w:r w:rsidR="0038219F" w:rsidRPr="00885A57">
        <w:rPr>
          <w:rFonts w:ascii="Times New Roman" w:eastAsia="標楷體" w:hAnsi="Times New Roman" w:cs="Times New Roman"/>
          <w:szCs w:val="24"/>
        </w:rPr>
        <w:t xml:space="preserve"> lifter construction</w:t>
      </w:r>
      <w:r w:rsidRPr="00885A57">
        <w:rPr>
          <w:rFonts w:ascii="Times New Roman" w:eastAsia="標楷體" w:hAnsi="Times New Roman" w:cs="Times New Roman"/>
          <w:szCs w:val="24"/>
        </w:rPr>
        <w:t xml:space="preserve"> subsidies for buildings at </w:t>
      </w:r>
      <w:r w:rsidRPr="00885A57">
        <w:rPr>
          <w:rFonts w:ascii="Times New Roman" w:eastAsia="標楷體" w:hAnsi="Times New Roman" w:cs="Times New Roman"/>
          <w:szCs w:val="24"/>
        </w:rPr>
        <w:lastRenderedPageBreak/>
        <w:t>least 20 years old. Between 2016 and 2019, a total of 20 projects were subsidized upon approval, among which five involved outer wall renovation and accessible facility improvement</w:t>
      </w:r>
      <w:r w:rsidR="00E413EC">
        <w:rPr>
          <w:rFonts w:ascii="Times New Roman" w:eastAsia="標楷體" w:hAnsi="Times New Roman" w:cs="Times New Roman"/>
          <w:szCs w:val="24"/>
        </w:rPr>
        <w:t xml:space="preserve">. Of these, </w:t>
      </w:r>
      <w:r w:rsidRPr="00885A57">
        <w:rPr>
          <w:rFonts w:ascii="Times New Roman" w:eastAsia="標楷體" w:hAnsi="Times New Roman" w:cs="Times New Roman"/>
          <w:szCs w:val="24"/>
        </w:rPr>
        <w:t>two have been completed.</w:t>
      </w:r>
    </w:p>
    <w:p w14:paraId="234F47DA" w14:textId="02709306" w:rsidR="006B33BB" w:rsidRPr="00885A57" w:rsidRDefault="000E010B" w:rsidP="00736552">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63" w:name="_Ref38307397"/>
      <w:r w:rsidRPr="00885A57">
        <w:rPr>
          <w:rFonts w:ascii="Times New Roman" w:eastAsia="標楷體" w:hAnsi="Times New Roman" w:cs="Times New Roman"/>
        </w:rPr>
        <w:t xml:space="preserve">The </w:t>
      </w:r>
      <w:r w:rsidRPr="002153DE">
        <w:rPr>
          <w:rFonts w:ascii="Times New Roman" w:eastAsia="標楷體" w:hAnsi="Times New Roman" w:cs="Times New Roman"/>
          <w:iCs/>
        </w:rPr>
        <w:t>Regulations on Design Standards and Encouragement of Accessible Housing</w:t>
      </w:r>
      <w:r w:rsidRPr="00885A57">
        <w:rPr>
          <w:rFonts w:ascii="Times New Roman" w:eastAsia="標楷體" w:hAnsi="Times New Roman" w:cs="Times New Roman"/>
        </w:rPr>
        <w:t xml:space="preserve"> are mainly for new </w:t>
      </w:r>
      <w:r w:rsidR="00F176F1">
        <w:rPr>
          <w:rFonts w:ascii="Times New Roman" w:eastAsia="標楷體" w:hAnsi="Times New Roman" w:cs="Times New Roman"/>
        </w:rPr>
        <w:t xml:space="preserve">construction of </w:t>
      </w:r>
      <w:r w:rsidRPr="00885A57">
        <w:rPr>
          <w:rFonts w:ascii="Times New Roman" w:eastAsia="標楷體" w:hAnsi="Times New Roman" w:cs="Times New Roman"/>
        </w:rPr>
        <w:t xml:space="preserve">dwellings that meet the standards of accessible housing design </w:t>
      </w:r>
      <w:r w:rsidR="00531AB8">
        <w:rPr>
          <w:rFonts w:ascii="Times New Roman" w:eastAsia="標楷體" w:hAnsi="Times New Roman" w:cs="Times New Roman"/>
        </w:rPr>
        <w:t xml:space="preserve">for which </w:t>
      </w:r>
      <w:r w:rsidRPr="00885A57">
        <w:rPr>
          <w:rFonts w:ascii="Times New Roman" w:eastAsia="標楷體" w:hAnsi="Times New Roman" w:cs="Times New Roman"/>
        </w:rPr>
        <w:t>an accessible housing unit certificate</w:t>
      </w:r>
      <w:r w:rsidRPr="00885A57">
        <w:rPr>
          <w:rFonts w:ascii="Times New Roman" w:eastAsia="標楷體" w:hAnsi="Times New Roman" w:cs="Times New Roman"/>
          <w:vertAlign w:val="superscript"/>
        </w:rPr>
        <w:footnoteReference w:id="36"/>
      </w:r>
      <w:r w:rsidRPr="00885A57">
        <w:rPr>
          <w:rFonts w:ascii="Times New Roman" w:eastAsia="標楷體" w:hAnsi="Times New Roman" w:cs="Times New Roman"/>
        </w:rPr>
        <w:t xml:space="preserve"> or accessible housing certificate </w:t>
      </w:r>
      <w:r w:rsidR="00531AB8">
        <w:rPr>
          <w:rFonts w:ascii="Times New Roman" w:eastAsia="標楷體" w:hAnsi="Times New Roman" w:cs="Times New Roman"/>
        </w:rPr>
        <w:t xml:space="preserve">is being applied for with </w:t>
      </w:r>
      <w:r w:rsidRPr="00885A57">
        <w:rPr>
          <w:rFonts w:ascii="Times New Roman" w:eastAsia="標楷體" w:hAnsi="Times New Roman" w:cs="Times New Roman"/>
        </w:rPr>
        <w:t>the local government.</w:t>
      </w:r>
      <w:r w:rsidRPr="00885A57">
        <w:rPr>
          <w:rFonts w:ascii="Times New Roman" w:eastAsia="標楷體" w:hAnsi="Times New Roman" w:cs="Times New Roman"/>
          <w:vertAlign w:val="superscript"/>
        </w:rPr>
        <w:footnoteReference w:id="37"/>
      </w:r>
      <w:r w:rsidRPr="00885A57">
        <w:rPr>
          <w:rFonts w:ascii="Times New Roman" w:eastAsia="標楷體" w:hAnsi="Times New Roman" w:cs="Times New Roman"/>
        </w:rPr>
        <w:t xml:space="preserve"> As of September 2020, 60 applications for an accessible housing certificate </w:t>
      </w:r>
      <w:r w:rsidR="00F176F1">
        <w:rPr>
          <w:rFonts w:ascii="Times New Roman" w:eastAsia="標楷體" w:hAnsi="Times New Roman" w:cs="Times New Roman"/>
        </w:rPr>
        <w:t xml:space="preserve">had </w:t>
      </w:r>
      <w:r w:rsidRPr="00885A57">
        <w:rPr>
          <w:rFonts w:ascii="Times New Roman" w:eastAsia="標楷體" w:hAnsi="Times New Roman" w:cs="Times New Roman"/>
        </w:rPr>
        <w:t>been submitted nationwide, with projects approved in Taipei City and Taoyuan City. For projects involving accessible facility improvement</w:t>
      </w:r>
      <w:r w:rsidR="00531AB8">
        <w:rPr>
          <w:rFonts w:ascii="Times New Roman" w:eastAsia="標楷體" w:hAnsi="Times New Roman" w:cs="Times New Roman"/>
        </w:rPr>
        <w:t>s</w:t>
      </w:r>
      <w:r w:rsidRPr="00885A57">
        <w:rPr>
          <w:rFonts w:ascii="Times New Roman" w:eastAsia="標楷體" w:hAnsi="Times New Roman" w:cs="Times New Roman"/>
        </w:rPr>
        <w:t xml:space="preserve"> </w:t>
      </w:r>
      <w:r w:rsidR="00531AB8">
        <w:rPr>
          <w:rFonts w:ascii="Times New Roman" w:eastAsia="標楷體" w:hAnsi="Times New Roman" w:cs="Times New Roman"/>
        </w:rPr>
        <w:t xml:space="preserve">to </w:t>
      </w:r>
      <w:r w:rsidRPr="00885A57">
        <w:rPr>
          <w:rFonts w:ascii="Times New Roman" w:eastAsia="標楷體" w:hAnsi="Times New Roman" w:cs="Times New Roman"/>
        </w:rPr>
        <w:t>existing dwellings that meet accessible housing design standards, local governments may provide subsidies accordingly</w:t>
      </w:r>
      <w:r w:rsidR="00531AB8">
        <w:rPr>
          <w:rFonts w:ascii="Times New Roman" w:eastAsia="標楷體" w:hAnsi="Times New Roman" w:cs="Times New Roman"/>
        </w:rPr>
        <w:t>.</w:t>
      </w:r>
      <w:r w:rsidR="00531AB8" w:rsidRPr="00885A57">
        <w:rPr>
          <w:rFonts w:ascii="Times New Roman" w:eastAsia="標楷體" w:hAnsi="Times New Roman" w:cs="Times New Roman"/>
        </w:rPr>
        <w:t xml:space="preserve"> </w:t>
      </w:r>
      <w:r w:rsidR="00531AB8">
        <w:rPr>
          <w:rFonts w:ascii="Times New Roman" w:eastAsia="標楷體" w:hAnsi="Times New Roman" w:cs="Times New Roman"/>
        </w:rPr>
        <w:t>T</w:t>
      </w:r>
      <w:r w:rsidR="00531AB8" w:rsidRPr="00885A57">
        <w:rPr>
          <w:rFonts w:ascii="Times New Roman" w:eastAsia="標楷體" w:hAnsi="Times New Roman" w:cs="Times New Roman"/>
        </w:rPr>
        <w:t xml:space="preserve">he </w:t>
      </w:r>
      <w:r w:rsidR="00531AB8">
        <w:rPr>
          <w:rFonts w:ascii="Times New Roman" w:eastAsia="標楷體" w:hAnsi="Times New Roman" w:cs="Times New Roman"/>
        </w:rPr>
        <w:t>r</w:t>
      </w:r>
      <w:r w:rsidRPr="00885A57">
        <w:rPr>
          <w:rFonts w:ascii="Times New Roman" w:eastAsia="標楷體" w:hAnsi="Times New Roman" w:cs="Times New Roman"/>
        </w:rPr>
        <w:t xml:space="preserve">egulations have been </w:t>
      </w:r>
      <w:r w:rsidR="00531AB8">
        <w:rPr>
          <w:rFonts w:ascii="Times New Roman" w:eastAsia="標楷體" w:hAnsi="Times New Roman" w:cs="Times New Roman"/>
        </w:rPr>
        <w:t xml:space="preserve">expanded </w:t>
      </w:r>
      <w:r w:rsidRPr="00885A57">
        <w:rPr>
          <w:rFonts w:ascii="Times New Roman" w:eastAsia="標楷體" w:hAnsi="Times New Roman" w:cs="Times New Roman"/>
        </w:rPr>
        <w:t>to allow for the construction of a home-use elevator in an existing dwelling/condominium</w:t>
      </w:r>
      <w:r w:rsidR="00531AB8">
        <w:rPr>
          <w:rFonts w:ascii="Times New Roman" w:eastAsia="標楷體" w:hAnsi="Times New Roman" w:cs="Times New Roman"/>
        </w:rPr>
        <w:t xml:space="preserve"> of five floors or fewer</w:t>
      </w:r>
      <w:r w:rsidRPr="00885A57">
        <w:rPr>
          <w:rFonts w:ascii="Times New Roman" w:eastAsia="標楷體" w:hAnsi="Times New Roman" w:cs="Times New Roman"/>
        </w:rPr>
        <w:t xml:space="preserve">. In 2018, subsidization standards were further </w:t>
      </w:r>
      <w:r w:rsidR="00531AB8">
        <w:rPr>
          <w:rFonts w:ascii="Times New Roman" w:eastAsia="標楷體" w:hAnsi="Times New Roman" w:cs="Times New Roman"/>
        </w:rPr>
        <w:t xml:space="preserve">expanded </w:t>
      </w:r>
      <w:r w:rsidRPr="00885A57">
        <w:rPr>
          <w:rFonts w:ascii="Times New Roman" w:eastAsia="標楷體" w:hAnsi="Times New Roman" w:cs="Times New Roman"/>
        </w:rPr>
        <w:t>to apply to the construction of public elevators. Specifically, subsidies may be granted as long as co</w:t>
      </w:r>
      <w:r w:rsidR="008F1D78">
        <w:rPr>
          <w:rFonts w:ascii="Times New Roman" w:eastAsia="標楷體" w:hAnsi="Times New Roman" w:cs="Times New Roman"/>
        </w:rPr>
        <w:t>-</w:t>
      </w:r>
      <w:r w:rsidRPr="00885A57">
        <w:rPr>
          <w:rFonts w:ascii="Times New Roman" w:eastAsia="標楷體" w:hAnsi="Times New Roman" w:cs="Times New Roman"/>
        </w:rPr>
        <w:t>owners (or unit owners) of the elevator account for more than half of the building’s total inhabitants and hold ownership of more than half of the shared area. Between 2018 and 2022, the government plans to subsidize 45 projects involving accessible facility improvement</w:t>
      </w:r>
      <w:r w:rsidR="00531AB8">
        <w:rPr>
          <w:rFonts w:ascii="Times New Roman" w:eastAsia="標楷體" w:hAnsi="Times New Roman" w:cs="Times New Roman"/>
        </w:rPr>
        <w:t xml:space="preserve">s </w:t>
      </w:r>
      <w:r w:rsidRPr="00885A57">
        <w:rPr>
          <w:rFonts w:ascii="Times New Roman" w:eastAsia="標楷體" w:hAnsi="Times New Roman" w:cs="Times New Roman"/>
        </w:rPr>
        <w:t>and elevator construction in dwellings/condominiums of five floors or fewer and 88 projects involving accessible facility improvement</w:t>
      </w:r>
      <w:r w:rsidR="00531AB8">
        <w:rPr>
          <w:rFonts w:ascii="Times New Roman" w:eastAsia="標楷體" w:hAnsi="Times New Roman" w:cs="Times New Roman"/>
        </w:rPr>
        <w:t>s</w:t>
      </w:r>
      <w:r w:rsidRPr="00885A57">
        <w:rPr>
          <w:rFonts w:ascii="Times New Roman" w:eastAsia="標楷體" w:hAnsi="Times New Roman" w:cs="Times New Roman"/>
        </w:rPr>
        <w:t xml:space="preserve"> </w:t>
      </w:r>
      <w:r w:rsidR="00531AB8">
        <w:rPr>
          <w:rFonts w:ascii="Times New Roman" w:eastAsia="標楷體" w:hAnsi="Times New Roman" w:cs="Times New Roman"/>
        </w:rPr>
        <w:t xml:space="preserve">at </w:t>
      </w:r>
      <w:r w:rsidRPr="00885A57">
        <w:rPr>
          <w:rFonts w:ascii="Times New Roman" w:eastAsia="標楷體" w:hAnsi="Times New Roman" w:cs="Times New Roman"/>
        </w:rPr>
        <w:t xml:space="preserve">a dwelling/condominium. As of September </w:t>
      </w:r>
      <w:r w:rsidRPr="00885A57">
        <w:rPr>
          <w:rFonts w:ascii="Times New Roman" w:eastAsia="標楷體" w:hAnsi="Times New Roman" w:cs="Times New Roman"/>
        </w:rPr>
        <w:lastRenderedPageBreak/>
        <w:t>2020, subsidies had been granted to six projects involving accessible facility improvement and elevator construction in a dwelling/condominium of five floors or fewer and another six involving accessible facility improvement in a dwelling</w:t>
      </w:r>
      <w:r w:rsidR="00736552" w:rsidRPr="00885A57">
        <w:rPr>
          <w:rFonts w:ascii="Times New Roman" w:eastAsia="標楷體" w:hAnsi="Times New Roman" w:cs="Times New Roman"/>
        </w:rPr>
        <w:t>/</w:t>
      </w:r>
      <w:r w:rsidRPr="00885A57">
        <w:rPr>
          <w:rFonts w:ascii="Times New Roman" w:eastAsia="標楷體" w:hAnsi="Times New Roman" w:cs="Times New Roman"/>
        </w:rPr>
        <w:t>condominium.</w:t>
      </w:r>
      <w:bookmarkEnd w:id="63"/>
    </w:p>
    <w:p w14:paraId="34D08279" w14:textId="2FDFD10B" w:rsidR="00507E5E" w:rsidRPr="00885A57" w:rsidRDefault="000E010B" w:rsidP="00736552">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MOHW promulgated the </w:t>
      </w:r>
      <w:r w:rsidRPr="002153DE">
        <w:rPr>
          <w:rFonts w:ascii="Times New Roman" w:eastAsia="標楷體" w:hAnsi="Times New Roman" w:cs="Times New Roman"/>
          <w:iCs/>
          <w:szCs w:val="24"/>
        </w:rPr>
        <w:t xml:space="preserve">Regulations on Subsidization for Medical Treatment and Auxiliary Appliances for </w:t>
      </w:r>
      <w:r w:rsidR="007C333F">
        <w:rPr>
          <w:rFonts w:ascii="Times New Roman" w:eastAsia="標楷體" w:hAnsi="Times New Roman" w:cs="Times New Roman"/>
          <w:iCs/>
          <w:szCs w:val="24"/>
        </w:rPr>
        <w:t>People with Disabilities</w:t>
      </w:r>
      <w:r w:rsidRPr="00885A57">
        <w:rPr>
          <w:rFonts w:ascii="Times New Roman" w:eastAsia="標楷體" w:hAnsi="Times New Roman" w:cs="Times New Roman"/>
          <w:szCs w:val="24"/>
        </w:rPr>
        <w:t>, providing subsidies for 21 accessible facilities</w:t>
      </w:r>
      <w:r w:rsidRPr="00885A57">
        <w:rPr>
          <w:rFonts w:ascii="Times New Roman" w:eastAsia="標楷體" w:hAnsi="Times New Roman" w:cs="Times New Roman"/>
          <w:vertAlign w:val="superscript"/>
        </w:rPr>
        <w:footnoteReference w:id="38"/>
      </w:r>
      <w:r w:rsidRPr="00885A57">
        <w:rPr>
          <w:rFonts w:ascii="Times New Roman" w:eastAsia="標楷體" w:hAnsi="Times New Roman" w:cs="Times New Roman"/>
          <w:szCs w:val="24"/>
        </w:rPr>
        <w:t xml:space="preserve"> in dwellings </w:t>
      </w:r>
      <w:r w:rsidR="000E12F5">
        <w:rPr>
          <w:rFonts w:ascii="Times New Roman" w:eastAsia="標楷體" w:hAnsi="Times New Roman" w:cs="Times New Roman"/>
          <w:szCs w:val="24"/>
        </w:rPr>
        <w:t xml:space="preserve">up to </w:t>
      </w:r>
      <w:r w:rsidRPr="00885A57">
        <w:rPr>
          <w:rFonts w:ascii="Times New Roman" w:eastAsia="標楷體" w:hAnsi="Times New Roman" w:cs="Times New Roman"/>
          <w:szCs w:val="24"/>
        </w:rPr>
        <w:t>a maximum amount of NT$60,000 per household. Under the</w:t>
      </w:r>
      <w:r w:rsidR="000E12F5">
        <w:rPr>
          <w:rFonts w:ascii="Times New Roman" w:eastAsia="標楷體" w:hAnsi="Times New Roman" w:cs="Times New Roman"/>
          <w:szCs w:val="24"/>
        </w:rPr>
        <w:t>se</w:t>
      </w:r>
      <w:r w:rsidRPr="00885A57">
        <w:rPr>
          <w:rFonts w:ascii="Times New Roman" w:eastAsia="標楷體" w:hAnsi="Times New Roman" w:cs="Times New Roman"/>
          <w:szCs w:val="24"/>
        </w:rPr>
        <w:t xml:space="preserve"> regulations, assistive technology centers are also to provide services such as assessment and consultation </w:t>
      </w:r>
      <w:r w:rsidR="000E12F5">
        <w:rPr>
          <w:rFonts w:ascii="Times New Roman" w:eastAsia="標楷體" w:hAnsi="Times New Roman" w:cs="Times New Roman"/>
          <w:szCs w:val="24"/>
        </w:rPr>
        <w:t xml:space="preserve">in accordance with </w:t>
      </w:r>
      <w:r w:rsidRPr="00885A57">
        <w:rPr>
          <w:rFonts w:ascii="Times New Roman" w:eastAsia="標楷體" w:hAnsi="Times New Roman" w:cs="Times New Roman"/>
          <w:szCs w:val="24"/>
        </w:rPr>
        <w:t>applicants’ needs (Table 9.3).</w:t>
      </w:r>
    </w:p>
    <w:p w14:paraId="721FBEA5" w14:textId="5A533D99" w:rsidR="009E4FE3" w:rsidRPr="00885A57" w:rsidRDefault="00745A14"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64" w:name="_Ref55907876"/>
      <w:r w:rsidRPr="00885A57">
        <w:rPr>
          <w:rFonts w:ascii="Times New Roman" w:eastAsia="標楷體" w:hAnsi="Times New Roman" w:cs="Times New Roman"/>
          <w:szCs w:val="24"/>
        </w:rPr>
        <w:t xml:space="preserve">The interior design of care institutions, senior citizen welfare institutions, disabled welfare institutions, and mental health care institutions shall meet the </w:t>
      </w:r>
      <w:r w:rsidR="0046685B" w:rsidRPr="002153DE">
        <w:rPr>
          <w:rFonts w:ascii="Times New Roman" w:eastAsia="標楷體" w:hAnsi="Times New Roman" w:cs="Times New Roman"/>
          <w:szCs w:val="24"/>
        </w:rPr>
        <w:t>Design Specifications of</w:t>
      </w:r>
      <w:r w:rsidRPr="002153DE">
        <w:rPr>
          <w:rFonts w:ascii="Times New Roman" w:eastAsia="標楷體" w:hAnsi="Times New Roman" w:cs="Times New Roman"/>
          <w:szCs w:val="24"/>
        </w:rPr>
        <w:t xml:space="preserve"> Accessible and Usable Buildings and Facilities.</w:t>
      </w:r>
      <w:r w:rsidRPr="00885A57">
        <w:rPr>
          <w:rFonts w:ascii="Times New Roman" w:eastAsia="標楷體" w:hAnsi="Times New Roman" w:cs="Times New Roman"/>
          <w:szCs w:val="24"/>
        </w:rPr>
        <w:t xml:space="preserve"> Assessment indicators for accessible facilities were added to the 2020 assessment standards of said institutions to ensure the implementation of appropriate spatial and facility designs, and to ensure structure and facility designs comply with environment</w:t>
      </w:r>
      <w:r w:rsidR="00717E0A">
        <w:rPr>
          <w:rFonts w:ascii="Times New Roman" w:eastAsia="標楷體" w:hAnsi="Times New Roman" w:cs="Times New Roman"/>
          <w:szCs w:val="24"/>
        </w:rPr>
        <w:t xml:space="preserve">al </w:t>
      </w:r>
      <w:r w:rsidRPr="00885A57">
        <w:rPr>
          <w:rFonts w:ascii="Times New Roman" w:eastAsia="標楷體" w:hAnsi="Times New Roman" w:cs="Times New Roman"/>
          <w:szCs w:val="24"/>
        </w:rPr>
        <w:t xml:space="preserve">and individual needs of people with disabilities as well. Accordingly, design of accessible facilities </w:t>
      </w:r>
      <w:r w:rsidR="00432DAE">
        <w:rPr>
          <w:rFonts w:ascii="Times New Roman" w:eastAsia="標楷體" w:hAnsi="Times New Roman" w:cs="Times New Roman"/>
          <w:szCs w:val="24"/>
        </w:rPr>
        <w:t xml:space="preserve">at such </w:t>
      </w:r>
      <w:r w:rsidRPr="00885A57">
        <w:rPr>
          <w:rFonts w:ascii="Times New Roman" w:eastAsia="標楷體" w:hAnsi="Times New Roman" w:cs="Times New Roman"/>
          <w:szCs w:val="24"/>
        </w:rPr>
        <w:t>institutions will be improved.</w:t>
      </w:r>
      <w:bookmarkEnd w:id="64"/>
      <w:r w:rsidRPr="00885A57">
        <w:rPr>
          <w:rStyle w:val="ab"/>
          <w:rFonts w:ascii="Times New Roman" w:eastAsia="標楷體" w:hAnsi="Times New Roman" w:cs="Times New Roman"/>
        </w:rPr>
        <w:footnoteReference w:id="39"/>
      </w:r>
    </w:p>
    <w:p w14:paraId="5A8D001B" w14:textId="19FF9B5B" w:rsidR="00CE3259" w:rsidRPr="00885A57" w:rsidRDefault="00745A14"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MOL developed the Implementation Project of Promoting </w:t>
      </w:r>
      <w:r w:rsidR="001759AD" w:rsidRPr="00885A57">
        <w:rPr>
          <w:rFonts w:ascii="Times New Roman" w:eastAsia="標楷體" w:hAnsi="Times New Roman" w:cs="Times New Roman"/>
          <w:szCs w:val="24"/>
        </w:rPr>
        <w:t>Job Accommodation</w:t>
      </w:r>
      <w:r w:rsidRPr="00885A57">
        <w:rPr>
          <w:rFonts w:ascii="Times New Roman" w:eastAsia="標楷體" w:hAnsi="Times New Roman" w:cs="Times New Roman"/>
          <w:szCs w:val="24"/>
        </w:rPr>
        <w:t xml:space="preserve"> Service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to subsidize improvements </w:t>
      </w:r>
      <w:r w:rsidRPr="00885A57">
        <w:rPr>
          <w:rFonts w:ascii="Times New Roman" w:eastAsia="標楷體" w:hAnsi="Times New Roman" w:cs="Times New Roman"/>
          <w:szCs w:val="24"/>
        </w:rPr>
        <w:lastRenderedPageBreak/>
        <w:t>in work environments</w:t>
      </w:r>
      <w:r w:rsidR="00D62A34">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equipment, and machines by employers as well as the provision </w:t>
      </w:r>
      <w:r w:rsidR="00432DAE">
        <w:rPr>
          <w:rFonts w:ascii="Times New Roman" w:eastAsia="標楷體" w:hAnsi="Times New Roman" w:cs="Times New Roman"/>
          <w:szCs w:val="24"/>
        </w:rPr>
        <w:t xml:space="preserve">of accommodation </w:t>
      </w:r>
      <w:r w:rsidR="00D62A34">
        <w:rPr>
          <w:rFonts w:ascii="Times New Roman" w:eastAsia="標楷體" w:hAnsi="Times New Roman" w:cs="Times New Roman"/>
          <w:szCs w:val="24"/>
        </w:rPr>
        <w:t>for</w:t>
      </w:r>
      <w:r w:rsidR="00432DAE">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working </w:t>
      </w:r>
      <w:r w:rsidR="00D62A34">
        <w:rPr>
          <w:rFonts w:ascii="Times New Roman" w:eastAsia="標楷體" w:hAnsi="Times New Roman" w:cs="Times New Roman"/>
          <w:szCs w:val="24"/>
        </w:rPr>
        <w:t xml:space="preserve">practices to </w:t>
      </w:r>
      <w:r w:rsidRPr="00885A57">
        <w:rPr>
          <w:rFonts w:ascii="Times New Roman" w:eastAsia="標楷體" w:hAnsi="Times New Roman" w:cs="Times New Roman"/>
          <w:szCs w:val="24"/>
        </w:rPr>
        <w:t xml:space="preserve">eliminate workplace obstacles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w:t>
      </w:r>
      <w:r w:rsidR="00432DAE">
        <w:rPr>
          <w:rFonts w:ascii="Times New Roman" w:eastAsia="標楷體" w:hAnsi="Times New Roman" w:cs="Times New Roman"/>
          <w:szCs w:val="24"/>
        </w:rPr>
        <w:t>For the period 2016-</w:t>
      </w:r>
      <w:r w:rsidRPr="00885A57">
        <w:rPr>
          <w:rFonts w:ascii="Times New Roman" w:eastAsia="標楷體" w:hAnsi="Times New Roman" w:cs="Times New Roman"/>
          <w:szCs w:val="24"/>
        </w:rPr>
        <w:t xml:space="preserve">2019, budgets for such </w:t>
      </w:r>
      <w:r w:rsidR="00432DAE">
        <w:rPr>
          <w:rFonts w:ascii="Times New Roman" w:eastAsia="標楷體" w:hAnsi="Times New Roman" w:cs="Times New Roman"/>
          <w:szCs w:val="24"/>
        </w:rPr>
        <w:t xml:space="preserve">subsidies </w:t>
      </w:r>
      <w:r w:rsidRPr="00885A57">
        <w:rPr>
          <w:rFonts w:ascii="Times New Roman" w:eastAsia="標楷體" w:hAnsi="Times New Roman" w:cs="Times New Roman"/>
          <w:szCs w:val="24"/>
        </w:rPr>
        <w:t>totaled NT$96.51 million.</w:t>
      </w:r>
    </w:p>
    <w:p w14:paraId="24FBB778" w14:textId="4E41E511" w:rsidR="00381D01" w:rsidRPr="00885A57" w:rsidRDefault="00745A14"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65" w:name="_Ref55907897"/>
      <w:r w:rsidRPr="00885A57">
        <w:rPr>
          <w:rFonts w:ascii="Times New Roman" w:eastAsia="標楷體" w:hAnsi="Times New Roman" w:cs="Times New Roman"/>
          <w:szCs w:val="24"/>
        </w:rPr>
        <w:t>Each education authority iss</w:t>
      </w:r>
      <w:r w:rsidR="00416FE8">
        <w:rPr>
          <w:rFonts w:ascii="Times New Roman" w:eastAsia="標楷體" w:hAnsi="Times New Roman" w:cs="Times New Roman"/>
          <w:szCs w:val="24"/>
        </w:rPr>
        <w:t xml:space="preserve">ues special funds for schools to </w:t>
      </w:r>
      <w:r w:rsidR="00416FE8" w:rsidRPr="00416FE8">
        <w:rPr>
          <w:rFonts w:ascii="Times New Roman" w:eastAsia="標楷體" w:hAnsi="Times New Roman" w:cs="Times New Roman"/>
          <w:szCs w:val="24"/>
        </w:rPr>
        <w:t>improve campus accessibility</w:t>
      </w:r>
      <w:r w:rsidRPr="00885A57">
        <w:rPr>
          <w:rFonts w:ascii="Times New Roman" w:eastAsia="標楷體" w:hAnsi="Times New Roman" w:cs="Times New Roman"/>
          <w:szCs w:val="24"/>
        </w:rPr>
        <w:t xml:space="preserve"> every year, and schools also raise funds independently. </w:t>
      </w:r>
      <w:r w:rsidR="004251BE">
        <w:rPr>
          <w:rFonts w:ascii="Times New Roman" w:eastAsia="標楷體" w:hAnsi="Times New Roman" w:cs="Times New Roman"/>
          <w:szCs w:val="24"/>
        </w:rPr>
        <w:t>For the period 2016-</w:t>
      </w:r>
      <w:r w:rsidRPr="00885A57">
        <w:rPr>
          <w:rFonts w:ascii="Times New Roman" w:eastAsia="標楷體" w:hAnsi="Times New Roman" w:cs="Times New Roman"/>
          <w:szCs w:val="24"/>
        </w:rPr>
        <w:t xml:space="preserve">2019, expenses for </w:t>
      </w:r>
      <w:r w:rsidR="00A75CA6" w:rsidRPr="00885A57">
        <w:rPr>
          <w:rFonts w:ascii="Times New Roman" w:eastAsia="標楷體" w:hAnsi="Times New Roman" w:cs="Times New Roman"/>
          <w:szCs w:val="24"/>
        </w:rPr>
        <w:t>campus</w:t>
      </w:r>
      <w:r w:rsidRPr="00885A57">
        <w:rPr>
          <w:rFonts w:ascii="Times New Roman" w:eastAsia="標楷體" w:hAnsi="Times New Roman" w:cs="Times New Roman"/>
          <w:szCs w:val="24"/>
        </w:rPr>
        <w:t xml:space="preserve"> accessibility improvement reached NT$2.1 billion (Table 9.4), of which NT$1.983 billion was subsidies from government agencies. In 2018, the MOE commissioned the Disclosure Platform of Information on School </w:t>
      </w:r>
      <w:r w:rsidR="00722359">
        <w:rPr>
          <w:rFonts w:ascii="Times New Roman" w:eastAsia="標楷體" w:hAnsi="Times New Roman" w:cs="Times New Roman"/>
          <w:kern w:val="0"/>
          <w:szCs w:val="24"/>
        </w:rPr>
        <w:t>Accessible</w:t>
      </w:r>
      <w:r w:rsidR="00722359" w:rsidRPr="00885A57">
        <w:rPr>
          <w:rFonts w:ascii="Times New Roman" w:eastAsia="標楷體" w:hAnsi="Times New Roman" w:cs="Times New Roman"/>
          <w:kern w:val="0"/>
          <w:szCs w:val="24"/>
        </w:rPr>
        <w:t xml:space="preserve"> </w:t>
      </w:r>
      <w:r w:rsidR="00DC4AFF">
        <w:rPr>
          <w:rFonts w:ascii="Times New Roman" w:eastAsia="標楷體" w:hAnsi="Times New Roman" w:cs="Times New Roman"/>
          <w:szCs w:val="24"/>
        </w:rPr>
        <w:t>Environments Project</w:t>
      </w:r>
      <w:r w:rsidR="004251BE">
        <w:rPr>
          <w:rFonts w:ascii="Times New Roman" w:eastAsia="標楷體" w:hAnsi="Times New Roman" w:cs="Times New Roman"/>
          <w:szCs w:val="24"/>
        </w:rPr>
        <w:t xml:space="preserve">. </w:t>
      </w:r>
      <w:r w:rsidR="00D62A34">
        <w:rPr>
          <w:rFonts w:ascii="Times New Roman" w:eastAsia="標楷體" w:hAnsi="Times New Roman" w:cs="Times New Roman"/>
          <w:szCs w:val="24"/>
        </w:rPr>
        <w:t>T</w:t>
      </w:r>
      <w:r w:rsidR="004251BE">
        <w:rPr>
          <w:rFonts w:ascii="Times New Roman" w:eastAsia="標楷體" w:hAnsi="Times New Roman" w:cs="Times New Roman"/>
          <w:szCs w:val="24"/>
        </w:rPr>
        <w:t xml:space="preserve">he first stage </w:t>
      </w:r>
      <w:r w:rsidRPr="00885A57">
        <w:rPr>
          <w:rFonts w:ascii="Times New Roman" w:eastAsia="標楷體" w:hAnsi="Times New Roman" w:cs="Times New Roman"/>
          <w:szCs w:val="24"/>
        </w:rPr>
        <w:t>involved higher education institutions, where students with disabilities</w:t>
      </w:r>
      <w:r w:rsidR="00972518" w:rsidRPr="00885A57">
        <w:rPr>
          <w:rFonts w:ascii="Times New Roman" w:eastAsia="標楷體" w:hAnsi="Times New Roman" w:cs="Times New Roman"/>
          <w:szCs w:val="24"/>
        </w:rPr>
        <w:t xml:space="preserve"> and nondisabled students</w:t>
      </w:r>
      <w:r w:rsidRPr="00885A57">
        <w:rPr>
          <w:rFonts w:ascii="Times New Roman" w:eastAsia="標楷體" w:hAnsi="Times New Roman" w:cs="Times New Roman"/>
          <w:szCs w:val="24"/>
        </w:rPr>
        <w:t xml:space="preserve">, NGOs, and experts in accessibility design were tasked </w:t>
      </w:r>
      <w:r w:rsidR="004251BE">
        <w:rPr>
          <w:rFonts w:ascii="Times New Roman" w:eastAsia="標楷體" w:hAnsi="Times New Roman" w:cs="Times New Roman"/>
          <w:szCs w:val="24"/>
        </w:rPr>
        <w:t xml:space="preserve">with jointly identifying, registering, and </w:t>
      </w:r>
      <w:r w:rsidR="00D62A34">
        <w:rPr>
          <w:rFonts w:ascii="Times New Roman" w:eastAsia="標楷體" w:hAnsi="Times New Roman" w:cs="Times New Roman"/>
          <w:szCs w:val="24"/>
        </w:rPr>
        <w:t>publishing</w:t>
      </w:r>
      <w:r w:rsidRPr="00885A57">
        <w:rPr>
          <w:rFonts w:ascii="Times New Roman" w:eastAsia="標楷體" w:hAnsi="Times New Roman" w:cs="Times New Roman"/>
          <w:szCs w:val="24"/>
        </w:rPr>
        <w:t xml:space="preserve"> accessible facilities, services, and relevant information </w:t>
      </w:r>
      <w:r w:rsidR="004251BE">
        <w:rPr>
          <w:rFonts w:ascii="Times New Roman" w:eastAsia="標楷體" w:hAnsi="Times New Roman" w:cs="Times New Roman"/>
          <w:szCs w:val="24"/>
        </w:rPr>
        <w:t xml:space="preserve">at </w:t>
      </w:r>
      <w:r w:rsidRPr="00885A57">
        <w:rPr>
          <w:rFonts w:ascii="Times New Roman" w:eastAsia="標楷體" w:hAnsi="Times New Roman" w:cs="Times New Roman"/>
          <w:szCs w:val="24"/>
        </w:rPr>
        <w:t xml:space="preserve">schools, aiming to create </w:t>
      </w:r>
      <w:r w:rsidR="000E78BD">
        <w:rPr>
          <w:rFonts w:ascii="Times New Roman" w:eastAsia="標楷體" w:hAnsi="Times New Roman" w:cs="Times New Roman"/>
          <w:szCs w:val="24"/>
        </w:rPr>
        <w:t>disabled-friendly</w:t>
      </w:r>
      <w:r w:rsidRPr="00885A57">
        <w:rPr>
          <w:rFonts w:ascii="Times New Roman" w:eastAsia="標楷體" w:hAnsi="Times New Roman" w:cs="Times New Roman"/>
          <w:szCs w:val="24"/>
        </w:rPr>
        <w:t xml:space="preserve"> campus environments. As of 2019, information on 24 schools, 724 buildings, and 9,185 accessible facilities had been </w:t>
      </w:r>
      <w:r w:rsidR="00D62A34">
        <w:rPr>
          <w:rFonts w:ascii="Times New Roman" w:eastAsia="標楷體" w:hAnsi="Times New Roman" w:cs="Times New Roman"/>
          <w:szCs w:val="24"/>
        </w:rPr>
        <w:t>published</w:t>
      </w:r>
      <w:r w:rsidRPr="00885A57">
        <w:rPr>
          <w:rFonts w:ascii="Times New Roman" w:eastAsia="標楷體" w:hAnsi="Times New Roman" w:cs="Times New Roman"/>
          <w:szCs w:val="24"/>
        </w:rPr>
        <w:t xml:space="preserve">, and numerous promotional videos had been uploaded to YouTube for </w:t>
      </w:r>
      <w:r w:rsidR="004251BE">
        <w:rPr>
          <w:rFonts w:ascii="Times New Roman" w:eastAsia="標楷體" w:hAnsi="Times New Roman" w:cs="Times New Roman"/>
          <w:szCs w:val="24"/>
        </w:rPr>
        <w:t>public viewing</w:t>
      </w:r>
      <w:r w:rsidRPr="00885A57">
        <w:rPr>
          <w:rFonts w:ascii="Times New Roman" w:eastAsia="標楷體" w:hAnsi="Times New Roman" w:cs="Times New Roman"/>
          <w:szCs w:val="24"/>
        </w:rPr>
        <w:t>.</w:t>
      </w:r>
      <w:bookmarkEnd w:id="65"/>
      <w:r w:rsidRPr="00885A57">
        <w:rPr>
          <w:rStyle w:val="ab"/>
          <w:rFonts w:ascii="Times New Roman" w:eastAsia="標楷體" w:hAnsi="Times New Roman" w:cs="Times New Roman"/>
        </w:rPr>
        <w:footnoteReference w:id="40"/>
      </w:r>
    </w:p>
    <w:p w14:paraId="6E6529C2" w14:textId="3BA3A54A" w:rsidR="009C0B9D" w:rsidRPr="00885A57" w:rsidRDefault="00D62A34" w:rsidP="00AF4D5E">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66" w:name="_Ref55907914"/>
      <w:r>
        <w:rPr>
          <w:rFonts w:ascii="Times New Roman" w:eastAsia="標楷體" w:hAnsi="Times New Roman" w:cs="Times New Roman"/>
          <w:szCs w:val="24"/>
        </w:rPr>
        <w:t>C</w:t>
      </w:r>
      <w:r w:rsidR="00745A14" w:rsidRPr="00885A57">
        <w:rPr>
          <w:rFonts w:ascii="Times New Roman" w:eastAsia="標楷體" w:hAnsi="Times New Roman" w:cs="Times New Roman"/>
          <w:szCs w:val="24"/>
        </w:rPr>
        <w:t>orrectional institution</w:t>
      </w:r>
      <w:r>
        <w:rPr>
          <w:rFonts w:ascii="Times New Roman" w:eastAsia="標楷體" w:hAnsi="Times New Roman" w:cs="Times New Roman"/>
          <w:szCs w:val="24"/>
        </w:rPr>
        <w:t xml:space="preserve"> facilities</w:t>
      </w:r>
      <w:r w:rsidR="00745A14" w:rsidRPr="00885A57">
        <w:rPr>
          <w:rFonts w:ascii="Times New Roman" w:eastAsia="標楷體" w:hAnsi="Times New Roman" w:cs="Times New Roman"/>
          <w:szCs w:val="24"/>
        </w:rPr>
        <w:t xml:space="preserve"> are </w:t>
      </w:r>
      <w:r w:rsidR="00CF63A3">
        <w:rPr>
          <w:rFonts w:ascii="Times New Roman" w:eastAsia="標楷體" w:hAnsi="Times New Roman" w:cs="Times New Roman"/>
          <w:szCs w:val="24"/>
        </w:rPr>
        <w:t xml:space="preserve">mostly </w:t>
      </w:r>
      <w:r w:rsidR="00745A14" w:rsidRPr="00885A57">
        <w:rPr>
          <w:rFonts w:ascii="Times New Roman" w:eastAsia="標楷體" w:hAnsi="Times New Roman" w:cs="Times New Roman"/>
          <w:szCs w:val="24"/>
        </w:rPr>
        <w:t xml:space="preserve">old, </w:t>
      </w:r>
      <w:r>
        <w:rPr>
          <w:rFonts w:ascii="Times New Roman" w:eastAsia="標楷體" w:hAnsi="Times New Roman" w:cs="Times New Roman"/>
          <w:szCs w:val="24"/>
        </w:rPr>
        <w:t xml:space="preserve">at </w:t>
      </w:r>
      <w:r w:rsidR="00CF63A3">
        <w:rPr>
          <w:rFonts w:ascii="Times New Roman" w:eastAsia="標楷體" w:hAnsi="Times New Roman" w:cs="Times New Roman"/>
          <w:szCs w:val="24"/>
        </w:rPr>
        <w:t xml:space="preserve">an average age of 40-50 </w:t>
      </w:r>
      <w:r w:rsidR="00745A14" w:rsidRPr="00885A57">
        <w:rPr>
          <w:rFonts w:ascii="Times New Roman" w:eastAsia="標楷體" w:hAnsi="Times New Roman" w:cs="Times New Roman"/>
          <w:szCs w:val="24"/>
        </w:rPr>
        <w:t>years. Such buildings are outmoded with respect to modern principles of incarceration, however, institution</w:t>
      </w:r>
      <w:r>
        <w:rPr>
          <w:rFonts w:ascii="Times New Roman" w:eastAsia="標楷體" w:hAnsi="Times New Roman" w:cs="Times New Roman"/>
          <w:szCs w:val="24"/>
        </w:rPr>
        <w:t xml:space="preserve">s </w:t>
      </w:r>
      <w:r w:rsidR="00745A14" w:rsidRPr="00885A57">
        <w:rPr>
          <w:rFonts w:ascii="Times New Roman" w:eastAsia="標楷體" w:hAnsi="Times New Roman" w:cs="Times New Roman"/>
          <w:szCs w:val="24"/>
        </w:rPr>
        <w:t xml:space="preserve">can plan and construct basic accessible facilities to meet </w:t>
      </w:r>
      <w:r w:rsidR="00166FF9" w:rsidRPr="00166FF9">
        <w:rPr>
          <w:rFonts w:ascii="Times New Roman" w:eastAsia="標楷體" w:hAnsi="Times New Roman" w:cs="Times New Roman"/>
          <w:szCs w:val="24"/>
        </w:rPr>
        <w:t xml:space="preserve">inmates’ </w:t>
      </w:r>
      <w:r w:rsidR="00745A14" w:rsidRPr="00885A57">
        <w:rPr>
          <w:rFonts w:ascii="Times New Roman" w:eastAsia="標楷體" w:hAnsi="Times New Roman" w:cs="Times New Roman"/>
          <w:szCs w:val="24"/>
        </w:rPr>
        <w:t xml:space="preserve">needs and provide inmates in need with assistive technologies (e.g., </w:t>
      </w:r>
      <w:r w:rsidR="00745A14" w:rsidRPr="00885A57">
        <w:rPr>
          <w:rFonts w:ascii="Times New Roman" w:eastAsia="標楷體" w:hAnsi="Times New Roman" w:cs="Times New Roman"/>
          <w:szCs w:val="24"/>
        </w:rPr>
        <w:lastRenderedPageBreak/>
        <w:t xml:space="preserve">wheelchairs, crutches, and walkers). </w:t>
      </w:r>
      <w:r w:rsidR="00EA0502" w:rsidRPr="00885A57">
        <w:rPr>
          <w:rFonts w:ascii="Times New Roman" w:eastAsia="標楷體" w:hAnsi="Times New Roman" w:cs="Times New Roman"/>
          <w:szCs w:val="24"/>
        </w:rPr>
        <w:t>I</w:t>
      </w:r>
      <w:r w:rsidR="00745A14" w:rsidRPr="00885A57">
        <w:rPr>
          <w:rFonts w:ascii="Times New Roman" w:eastAsia="標楷體" w:hAnsi="Times New Roman" w:cs="Times New Roman"/>
          <w:szCs w:val="24"/>
        </w:rPr>
        <w:t>nmates</w:t>
      </w:r>
      <w:r w:rsidR="00EA0502" w:rsidRPr="00885A57">
        <w:rPr>
          <w:rFonts w:ascii="Times New Roman" w:eastAsia="標楷體" w:hAnsi="Times New Roman" w:cs="Times New Roman"/>
          <w:szCs w:val="24"/>
        </w:rPr>
        <w:t xml:space="preserve"> with physical impairment</w:t>
      </w:r>
      <w:r w:rsidR="00DF52DF">
        <w:rPr>
          <w:rFonts w:ascii="Times New Roman" w:eastAsia="標楷體" w:hAnsi="Times New Roman" w:cs="Times New Roman"/>
          <w:szCs w:val="24"/>
        </w:rPr>
        <w:t>s</w:t>
      </w:r>
      <w:r w:rsidR="00745A14" w:rsidRPr="00885A57">
        <w:rPr>
          <w:rFonts w:ascii="Times New Roman" w:eastAsia="標楷體" w:hAnsi="Times New Roman" w:cs="Times New Roman"/>
          <w:szCs w:val="24"/>
        </w:rPr>
        <w:t xml:space="preserve"> </w:t>
      </w:r>
      <w:r w:rsidR="00EA0502" w:rsidRPr="00885A57">
        <w:rPr>
          <w:rFonts w:ascii="Times New Roman" w:eastAsia="標楷體" w:hAnsi="Times New Roman" w:cs="Times New Roman"/>
          <w:szCs w:val="24"/>
        </w:rPr>
        <w:t>or</w:t>
      </w:r>
      <w:r w:rsidR="00745A14" w:rsidRPr="00885A57">
        <w:rPr>
          <w:rFonts w:ascii="Times New Roman" w:eastAsia="標楷體" w:hAnsi="Times New Roman" w:cs="Times New Roman"/>
          <w:szCs w:val="24"/>
        </w:rPr>
        <w:t xml:space="preserve"> disabilities are mostly housed in patient wards, wards on lower floors, and special zones</w:t>
      </w:r>
      <w:r w:rsidR="00745A14" w:rsidRPr="00885A57">
        <w:rPr>
          <w:rFonts w:ascii="Times New Roman" w:hAnsi="Times New Roman" w:cs="Times New Roman"/>
          <w:szCs w:val="24"/>
        </w:rPr>
        <w:t xml:space="preserve"> </w:t>
      </w:r>
      <w:r w:rsidR="00745A14" w:rsidRPr="00885A57">
        <w:rPr>
          <w:rFonts w:ascii="Times New Roman" w:eastAsia="標楷體" w:hAnsi="Times New Roman" w:cs="Times New Roman"/>
          <w:szCs w:val="24"/>
        </w:rPr>
        <w:t xml:space="preserve">with centralized workshops and housing, enabling the provision of centralized care services. In addition to </w:t>
      </w:r>
      <w:r>
        <w:rPr>
          <w:rFonts w:ascii="Times New Roman" w:eastAsia="標楷體" w:hAnsi="Times New Roman" w:cs="Times New Roman"/>
          <w:szCs w:val="24"/>
        </w:rPr>
        <w:t>helping</w:t>
      </w:r>
      <w:r w:rsidRPr="00885A57">
        <w:rPr>
          <w:rFonts w:ascii="Times New Roman" w:eastAsia="標楷體" w:hAnsi="Times New Roman" w:cs="Times New Roman"/>
          <w:szCs w:val="24"/>
        </w:rPr>
        <w:t xml:space="preserve"> </w:t>
      </w:r>
      <w:r w:rsidR="00745A14" w:rsidRPr="00885A57">
        <w:rPr>
          <w:rFonts w:ascii="Times New Roman" w:eastAsia="標楷體" w:hAnsi="Times New Roman" w:cs="Times New Roman"/>
          <w:szCs w:val="24"/>
        </w:rPr>
        <w:t xml:space="preserve">incarcerated patients to get out-of-prison medical treatment, correctional institutions may, in accordance with the </w:t>
      </w:r>
      <w:r w:rsidR="00745A14" w:rsidRPr="002153DE">
        <w:rPr>
          <w:rFonts w:ascii="Times New Roman" w:eastAsia="標楷體" w:hAnsi="Times New Roman" w:cs="Times New Roman"/>
          <w:iCs/>
          <w:szCs w:val="24"/>
        </w:rPr>
        <w:t>Prison Act</w:t>
      </w:r>
      <w:r w:rsidR="00745A14" w:rsidRPr="00885A57">
        <w:rPr>
          <w:rFonts w:ascii="Times New Roman" w:eastAsia="標楷體" w:hAnsi="Times New Roman" w:cs="Times New Roman"/>
          <w:szCs w:val="24"/>
        </w:rPr>
        <w:t xml:space="preserve">, apply for prisoner transfers to critical care or psychiatric rehabilitation centers or medical treatment on bail. Where the inmate in question has special needs, the correctional institution </w:t>
      </w:r>
      <w:r w:rsidR="00DF52DF">
        <w:rPr>
          <w:rFonts w:ascii="Times New Roman" w:eastAsia="標楷體" w:hAnsi="Times New Roman" w:cs="Times New Roman"/>
          <w:szCs w:val="24"/>
        </w:rPr>
        <w:t xml:space="preserve">will </w:t>
      </w:r>
      <w:r w:rsidR="00745A14" w:rsidRPr="00885A57">
        <w:rPr>
          <w:rFonts w:ascii="Times New Roman" w:eastAsia="標楷體" w:hAnsi="Times New Roman" w:cs="Times New Roman"/>
          <w:szCs w:val="24"/>
        </w:rPr>
        <w:t>provide appropriate accessible facilities, assistive t</w:t>
      </w:r>
      <w:r w:rsidR="001436F6">
        <w:rPr>
          <w:rFonts w:ascii="Times New Roman" w:eastAsia="標楷體" w:hAnsi="Times New Roman" w:cs="Times New Roman"/>
          <w:szCs w:val="24"/>
        </w:rPr>
        <w:t>echnologies</w:t>
      </w:r>
      <w:r w:rsidR="00745A14" w:rsidRPr="00885A57">
        <w:rPr>
          <w:rFonts w:ascii="Times New Roman" w:eastAsia="標楷體" w:hAnsi="Times New Roman" w:cs="Times New Roman"/>
          <w:szCs w:val="24"/>
        </w:rPr>
        <w:t xml:space="preserve">, or other suitable assistance; the inmate may also request </w:t>
      </w:r>
      <w:r w:rsidR="00DF52DF">
        <w:rPr>
          <w:rFonts w:ascii="Times New Roman" w:eastAsia="標楷體" w:hAnsi="Times New Roman" w:cs="Times New Roman"/>
          <w:szCs w:val="24"/>
        </w:rPr>
        <w:t xml:space="preserve">that the </w:t>
      </w:r>
      <w:r w:rsidR="00745A14" w:rsidRPr="00885A57">
        <w:rPr>
          <w:rFonts w:ascii="Times New Roman" w:eastAsia="標楷體" w:hAnsi="Times New Roman" w:cs="Times New Roman"/>
          <w:szCs w:val="24"/>
        </w:rPr>
        <w:t xml:space="preserve">institution </w:t>
      </w:r>
      <w:r w:rsidR="00DF52DF">
        <w:rPr>
          <w:rFonts w:ascii="Times New Roman" w:eastAsia="標楷體" w:hAnsi="Times New Roman" w:cs="Times New Roman"/>
          <w:szCs w:val="24"/>
        </w:rPr>
        <w:t xml:space="preserve">make </w:t>
      </w:r>
      <w:r w:rsidR="00745A14" w:rsidRPr="00885A57">
        <w:rPr>
          <w:rFonts w:ascii="Times New Roman" w:eastAsia="標楷體" w:hAnsi="Times New Roman" w:cs="Times New Roman"/>
          <w:szCs w:val="24"/>
        </w:rPr>
        <w:t>reasonable accommodation</w:t>
      </w:r>
      <w:bookmarkEnd w:id="66"/>
      <w:r w:rsidR="00DF52DF">
        <w:rPr>
          <w:rFonts w:ascii="Times New Roman" w:eastAsia="標楷體" w:hAnsi="Times New Roman" w:cs="Times New Roman"/>
          <w:szCs w:val="24"/>
        </w:rPr>
        <w:t>s</w:t>
      </w:r>
      <w:r w:rsidR="00745A14" w:rsidRPr="00885A57">
        <w:rPr>
          <w:rFonts w:ascii="Times New Roman" w:eastAsia="標楷體" w:hAnsi="Times New Roman" w:cs="Times New Roman"/>
          <w:szCs w:val="24"/>
        </w:rPr>
        <w:t>.</w:t>
      </w:r>
    </w:p>
    <w:p w14:paraId="28190AA3" w14:textId="37E292A4" w:rsidR="002D5988" w:rsidRPr="005B2AD1" w:rsidRDefault="00745A14"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5B2AD1">
        <w:rPr>
          <w:rFonts w:ascii="Times New Roman" w:eastAsia="標楷體" w:hAnsi="Times New Roman" w:cs="Times New Roman"/>
          <w:szCs w:val="24"/>
        </w:rPr>
        <w:t>The Ministry of Economic Affairs</w:t>
      </w:r>
      <w:r w:rsidR="00A70F1D">
        <w:rPr>
          <w:rFonts w:ascii="Times New Roman" w:eastAsia="標楷體" w:hAnsi="Times New Roman" w:cs="Times New Roman"/>
          <w:szCs w:val="24"/>
        </w:rPr>
        <w:t xml:space="preserve"> (MOEA)</w:t>
      </w:r>
      <w:r w:rsidRPr="005B2AD1">
        <w:rPr>
          <w:rFonts w:ascii="Times New Roman" w:eastAsia="標楷體" w:hAnsi="Times New Roman" w:cs="Times New Roman"/>
          <w:szCs w:val="24"/>
        </w:rPr>
        <w:t xml:space="preserve"> has mandated that all </w:t>
      </w:r>
      <w:r w:rsidR="005B2AD1">
        <w:rPr>
          <w:rFonts w:ascii="Times New Roman" w:eastAsia="標楷體" w:hAnsi="Times New Roman" w:cs="Times New Roman"/>
          <w:szCs w:val="24"/>
        </w:rPr>
        <w:t xml:space="preserve">commercial centers </w:t>
      </w:r>
      <w:r w:rsidRPr="005B2AD1">
        <w:rPr>
          <w:rFonts w:ascii="Times New Roman" w:eastAsia="標楷體" w:hAnsi="Times New Roman" w:cs="Times New Roman"/>
          <w:szCs w:val="24"/>
        </w:rPr>
        <w:t xml:space="preserve">be built to meet legal obligations </w:t>
      </w:r>
      <w:r w:rsidR="005B2AD1">
        <w:rPr>
          <w:rFonts w:ascii="Times New Roman" w:eastAsia="標楷體" w:hAnsi="Times New Roman" w:cs="Times New Roman"/>
          <w:szCs w:val="24"/>
        </w:rPr>
        <w:t xml:space="preserve">and </w:t>
      </w:r>
      <w:r w:rsidRPr="005B2AD1">
        <w:rPr>
          <w:rFonts w:ascii="Times New Roman" w:eastAsia="標楷體" w:hAnsi="Times New Roman" w:cs="Times New Roman"/>
          <w:szCs w:val="24"/>
        </w:rPr>
        <w:t xml:space="preserve">provide accessible facilities. </w:t>
      </w:r>
      <w:r w:rsidR="005B2AD1">
        <w:rPr>
          <w:rFonts w:ascii="Times New Roman" w:eastAsia="標楷體" w:hAnsi="Times New Roman" w:cs="Times New Roman"/>
          <w:szCs w:val="24"/>
        </w:rPr>
        <w:t xml:space="preserve">As concerns guidance provided </w:t>
      </w:r>
      <w:r w:rsidRPr="005B2AD1">
        <w:rPr>
          <w:rFonts w:ascii="Times New Roman" w:eastAsia="標楷體" w:hAnsi="Times New Roman" w:cs="Times New Roman"/>
          <w:szCs w:val="24"/>
        </w:rPr>
        <w:t xml:space="preserve">for projects undertaken in </w:t>
      </w:r>
      <w:r w:rsidR="005B2AD1">
        <w:rPr>
          <w:rFonts w:ascii="Times New Roman" w:eastAsia="標楷體" w:hAnsi="Times New Roman" w:cs="Times New Roman"/>
          <w:szCs w:val="24"/>
        </w:rPr>
        <w:t xml:space="preserve">the period </w:t>
      </w:r>
      <w:r w:rsidRPr="005B2AD1">
        <w:rPr>
          <w:rFonts w:ascii="Times New Roman" w:eastAsia="標楷體" w:hAnsi="Times New Roman" w:cs="Times New Roman"/>
          <w:szCs w:val="24"/>
        </w:rPr>
        <w:t>2016</w:t>
      </w:r>
      <w:r w:rsidR="005B2AD1">
        <w:rPr>
          <w:rFonts w:ascii="Times New Roman" w:eastAsia="標楷體" w:hAnsi="Times New Roman" w:cs="Times New Roman"/>
          <w:szCs w:val="24"/>
        </w:rPr>
        <w:t>-</w:t>
      </w:r>
      <w:r w:rsidRPr="005B2AD1">
        <w:rPr>
          <w:rFonts w:ascii="Times New Roman" w:eastAsia="標楷體" w:hAnsi="Times New Roman" w:cs="Times New Roman"/>
          <w:szCs w:val="24"/>
        </w:rPr>
        <w:t xml:space="preserve">2020, accessible facility establishment was a bonus item </w:t>
      </w:r>
      <w:r w:rsidR="005B2AD1">
        <w:rPr>
          <w:rFonts w:ascii="Times New Roman" w:eastAsia="標楷體" w:hAnsi="Times New Roman" w:cs="Times New Roman"/>
          <w:szCs w:val="24"/>
        </w:rPr>
        <w:t xml:space="preserve">to garner </w:t>
      </w:r>
      <w:r w:rsidR="005B2AD1" w:rsidRPr="005B2AD1">
        <w:rPr>
          <w:rFonts w:ascii="Times New Roman" w:eastAsia="標楷體" w:hAnsi="Times New Roman" w:cs="Times New Roman"/>
          <w:szCs w:val="24"/>
        </w:rPr>
        <w:t>a</w:t>
      </w:r>
      <w:r w:rsidR="005B2AD1">
        <w:rPr>
          <w:rFonts w:ascii="Times New Roman" w:eastAsia="標楷體" w:hAnsi="Times New Roman" w:cs="Times New Roman"/>
          <w:szCs w:val="24"/>
        </w:rPr>
        <w:t xml:space="preserve"> market appraisal rating of</w:t>
      </w:r>
      <w:r w:rsidR="005B2AD1" w:rsidRPr="005B2AD1">
        <w:rPr>
          <w:rFonts w:ascii="Times New Roman" w:eastAsia="標楷體" w:hAnsi="Times New Roman" w:cs="Times New Roman"/>
          <w:szCs w:val="24"/>
        </w:rPr>
        <w:t xml:space="preserve"> </w:t>
      </w:r>
      <w:r w:rsidRPr="005B2AD1">
        <w:rPr>
          <w:rFonts w:ascii="Times New Roman" w:eastAsia="標楷體" w:hAnsi="Times New Roman" w:cs="Times New Roman"/>
          <w:szCs w:val="24"/>
        </w:rPr>
        <w:t>excellent</w:t>
      </w:r>
      <w:r w:rsidR="005B2AD1">
        <w:rPr>
          <w:rFonts w:ascii="Times New Roman" w:eastAsia="標楷體" w:hAnsi="Times New Roman" w:cs="Times New Roman"/>
          <w:szCs w:val="24"/>
        </w:rPr>
        <w:t>.</w:t>
      </w:r>
    </w:p>
    <w:p w14:paraId="63B9DA71" w14:textId="09BB2195" w:rsidR="002D5988" w:rsidRPr="00885A57" w:rsidRDefault="00745A14" w:rsidP="001A2139">
      <w:pPr>
        <w:pStyle w:val="a7"/>
        <w:numPr>
          <w:ilvl w:val="0"/>
          <w:numId w:val="7"/>
        </w:numPr>
        <w:spacing w:after="120" w:line="360" w:lineRule="auto"/>
        <w:ind w:leftChars="0"/>
        <w:jc w:val="both"/>
        <w:rPr>
          <w:rFonts w:ascii="Times New Roman" w:eastAsia="標楷體" w:hAnsi="Times New Roman" w:cs="Times New Roman"/>
          <w:bCs/>
        </w:rPr>
      </w:pPr>
      <w:r w:rsidRPr="00885A57">
        <w:rPr>
          <w:rFonts w:ascii="Times New Roman" w:eastAsia="標楷體" w:hAnsi="Times New Roman" w:cs="Times New Roman"/>
          <w:bCs/>
          <w:szCs w:val="24"/>
        </w:rPr>
        <w:t>Transportation and road</w:t>
      </w:r>
      <w:r w:rsidR="005B2AD1">
        <w:rPr>
          <w:rFonts w:ascii="Times New Roman" w:eastAsia="標楷體" w:hAnsi="Times New Roman" w:cs="Times New Roman"/>
          <w:bCs/>
          <w:szCs w:val="24"/>
        </w:rPr>
        <w:t>s</w:t>
      </w:r>
    </w:p>
    <w:p w14:paraId="0BAB3631" w14:textId="39B4D2E3" w:rsidR="00B635CD" w:rsidRPr="00885A57" w:rsidRDefault="00745A14"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According to </w:t>
      </w:r>
      <w:r w:rsidR="008F1D78">
        <w:rPr>
          <w:rFonts w:ascii="Times New Roman" w:eastAsia="標楷體" w:hAnsi="Times New Roman" w:cs="Times New Roman"/>
          <w:szCs w:val="24"/>
        </w:rPr>
        <w:t xml:space="preserve">the </w:t>
      </w:r>
      <w:r w:rsidR="00216D16">
        <w:rPr>
          <w:rFonts w:ascii="Times New Roman" w:eastAsia="標楷體" w:hAnsi="Times New Roman" w:cs="Times New Roman"/>
          <w:szCs w:val="24"/>
        </w:rPr>
        <w:t>Survey</w:t>
      </w:r>
      <w:r w:rsidR="002F0020">
        <w:rPr>
          <w:rFonts w:ascii="Times New Roman" w:eastAsia="標楷體" w:hAnsi="Times New Roman" w:cs="Times New Roman"/>
          <w:szCs w:val="24"/>
        </w:rPr>
        <w:t xml:space="preserve"> Report of Living Condition and Needs among People with </w:t>
      </w:r>
      <w:r w:rsidR="00F83EEA">
        <w:rPr>
          <w:rFonts w:ascii="Times New Roman" w:eastAsia="標楷體" w:hAnsi="Times New Roman" w:cs="Times New Roman"/>
          <w:szCs w:val="24"/>
        </w:rPr>
        <w:t>Disabilities</w:t>
      </w:r>
      <w:r w:rsidRPr="00885A57">
        <w:rPr>
          <w:rFonts w:ascii="Times New Roman" w:eastAsia="標楷體" w:hAnsi="Times New Roman" w:cs="Times New Roman"/>
          <w:szCs w:val="24"/>
        </w:rPr>
        <w:t xml:space="preserve"> in 2006, 2011, and 2016, the importance of taxis (including accessible taxis) </w:t>
      </w:r>
      <w:r w:rsidR="00247573">
        <w:rPr>
          <w:rFonts w:ascii="Times New Roman" w:eastAsia="標楷體" w:hAnsi="Times New Roman" w:cs="Times New Roman"/>
          <w:szCs w:val="24"/>
        </w:rPr>
        <w:t xml:space="preserve">as </w:t>
      </w:r>
      <w:r w:rsidRPr="00885A57">
        <w:rPr>
          <w:rFonts w:ascii="Times New Roman" w:eastAsia="標楷體" w:hAnsi="Times New Roman" w:cs="Times New Roman"/>
          <w:szCs w:val="24"/>
        </w:rPr>
        <w:t>rated by people with disabilities who went out in the past month increased</w:t>
      </w:r>
      <w:r w:rsidRPr="00885A57">
        <w:rPr>
          <w:rStyle w:val="ab"/>
          <w:rFonts w:ascii="Times New Roman" w:eastAsia="標楷體" w:hAnsi="Times New Roman" w:cs="Times New Roman"/>
        </w:rPr>
        <w:footnoteReference w:id="41"/>
      </w:r>
      <w:r w:rsidRPr="00885A57">
        <w:rPr>
          <w:rFonts w:ascii="Times New Roman" w:eastAsia="標楷體" w:hAnsi="Times New Roman" w:cs="Times New Roman"/>
          <w:szCs w:val="24"/>
        </w:rPr>
        <w:t xml:space="preserve"> from 6.89 (2006) and 7.52 (2011) to 8.40 points in 2016. Similarly, the importance </w:t>
      </w:r>
      <w:r w:rsidR="00247573">
        <w:rPr>
          <w:rFonts w:ascii="Times New Roman" w:eastAsia="標楷體" w:hAnsi="Times New Roman" w:cs="Times New Roman"/>
          <w:szCs w:val="24"/>
        </w:rPr>
        <w:t xml:space="preserve">of </w:t>
      </w:r>
      <w:r w:rsidRPr="00885A57">
        <w:rPr>
          <w:rFonts w:ascii="Times New Roman" w:eastAsia="標楷體" w:hAnsi="Times New Roman" w:cs="Times New Roman"/>
          <w:szCs w:val="24"/>
        </w:rPr>
        <w:t xml:space="preserve">city bus and </w:t>
      </w:r>
      <w:r w:rsidR="00247573">
        <w:rPr>
          <w:rFonts w:ascii="Times New Roman" w:eastAsia="標楷體" w:hAnsi="Times New Roman" w:cs="Times New Roman"/>
          <w:szCs w:val="24"/>
        </w:rPr>
        <w:t xml:space="preserve">subway systems </w:t>
      </w:r>
      <w:r w:rsidRPr="00885A57">
        <w:rPr>
          <w:rFonts w:ascii="Times New Roman" w:eastAsia="標楷體" w:hAnsi="Times New Roman" w:cs="Times New Roman"/>
          <w:szCs w:val="24"/>
        </w:rPr>
        <w:t xml:space="preserve">increased from 13.24 </w:t>
      </w:r>
      <w:r w:rsidRPr="00885A57">
        <w:rPr>
          <w:rFonts w:ascii="Times New Roman" w:eastAsia="標楷體" w:hAnsi="Times New Roman" w:cs="Times New Roman"/>
          <w:szCs w:val="24"/>
        </w:rPr>
        <w:lastRenderedPageBreak/>
        <w:t>(2006) and 20.54 (2011) to 23.91 in 2016, indicating that accessible public transport</w:t>
      </w:r>
      <w:r w:rsidR="00E93DD0" w:rsidRPr="00885A57">
        <w:rPr>
          <w:rFonts w:ascii="Times New Roman" w:eastAsia="標楷體" w:hAnsi="Times New Roman" w:cs="Times New Roman"/>
          <w:szCs w:val="28"/>
        </w:rPr>
        <w:t>ation</w:t>
      </w:r>
      <w:r w:rsidRPr="00885A57">
        <w:rPr>
          <w:rFonts w:ascii="Times New Roman" w:eastAsia="標楷體" w:hAnsi="Times New Roman" w:cs="Times New Roman"/>
          <w:szCs w:val="24"/>
        </w:rPr>
        <w:t xml:space="preserve"> strategies have been effective and that the number of people with disabilities taking public transport</w:t>
      </w:r>
      <w:r w:rsidR="00E93DD0" w:rsidRPr="00885A57">
        <w:rPr>
          <w:rFonts w:ascii="Times New Roman" w:eastAsia="標楷體" w:hAnsi="Times New Roman" w:cs="Times New Roman"/>
          <w:szCs w:val="28"/>
        </w:rPr>
        <w:t>ation</w:t>
      </w:r>
      <w:r w:rsidRPr="00885A57">
        <w:rPr>
          <w:rFonts w:ascii="Times New Roman" w:eastAsia="標楷體" w:hAnsi="Times New Roman" w:cs="Times New Roman"/>
          <w:szCs w:val="24"/>
        </w:rPr>
        <w:t xml:space="preserve"> has increased (Table 9.5).</w:t>
      </w:r>
    </w:p>
    <w:p w14:paraId="4421E7EA" w14:textId="7911822E" w:rsidR="00381D01" w:rsidRPr="00885A57" w:rsidRDefault="00D62A34"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67" w:name="_Ref38307768"/>
      <w:r>
        <w:rPr>
          <w:rFonts w:ascii="Times New Roman" w:eastAsia="標楷體" w:hAnsi="Times New Roman" w:cs="Times New Roman"/>
          <w:szCs w:val="24"/>
        </w:rPr>
        <w:t>P</w:t>
      </w:r>
      <w:r w:rsidR="00745A14" w:rsidRPr="00885A57">
        <w:rPr>
          <w:rFonts w:ascii="Times New Roman" w:eastAsia="標楷體" w:hAnsi="Times New Roman" w:cs="Times New Roman"/>
          <w:szCs w:val="24"/>
        </w:rPr>
        <w:t>ublic transport</w:t>
      </w:r>
      <w:r w:rsidR="00E93DD0" w:rsidRPr="00885A57">
        <w:rPr>
          <w:rFonts w:ascii="Times New Roman" w:eastAsia="標楷體" w:hAnsi="Times New Roman" w:cs="Times New Roman"/>
          <w:szCs w:val="28"/>
        </w:rPr>
        <w:t>ation</w:t>
      </w:r>
      <w:r w:rsidR="00745A14" w:rsidRPr="00885A57">
        <w:rPr>
          <w:rFonts w:ascii="Times New Roman" w:eastAsia="標楷體" w:hAnsi="Times New Roman" w:cs="Times New Roman"/>
          <w:szCs w:val="24"/>
        </w:rPr>
        <w:t xml:space="preserve"> system</w:t>
      </w:r>
      <w:r>
        <w:rPr>
          <w:rFonts w:ascii="Times New Roman" w:eastAsia="標楷體" w:hAnsi="Times New Roman" w:cs="Times New Roman"/>
          <w:szCs w:val="24"/>
        </w:rPr>
        <w:t>s</w:t>
      </w:r>
      <w:r w:rsidR="00745A14" w:rsidRPr="00885A57">
        <w:rPr>
          <w:rFonts w:ascii="Times New Roman" w:eastAsia="標楷體" w:hAnsi="Times New Roman" w:cs="Times New Roman"/>
          <w:szCs w:val="24"/>
        </w:rPr>
        <w:t xml:space="preserve"> </w:t>
      </w:r>
      <w:r>
        <w:rPr>
          <w:rFonts w:ascii="Times New Roman" w:eastAsia="標楷體" w:hAnsi="Times New Roman" w:cs="Times New Roman"/>
          <w:szCs w:val="24"/>
        </w:rPr>
        <w:t xml:space="preserve">have </w:t>
      </w:r>
      <w:r w:rsidR="00745A14" w:rsidRPr="00885A57">
        <w:rPr>
          <w:rFonts w:ascii="Times New Roman" w:eastAsia="標楷體" w:hAnsi="Times New Roman" w:cs="Times New Roman"/>
          <w:szCs w:val="24"/>
        </w:rPr>
        <w:t xml:space="preserve">adopted regulations on accessibility facilities for modes and stations, which are detailed in </w:t>
      </w:r>
      <w:r>
        <w:rPr>
          <w:rFonts w:ascii="Times New Roman" w:eastAsia="標楷體" w:hAnsi="Times New Roman" w:cs="Times New Roman"/>
          <w:szCs w:val="24"/>
        </w:rPr>
        <w:t xml:space="preserve">Articles 1-4 </w:t>
      </w:r>
      <w:r w:rsidR="00745A14" w:rsidRPr="00885A57">
        <w:rPr>
          <w:rFonts w:ascii="Times New Roman" w:eastAsia="標楷體" w:hAnsi="Times New Roman" w:cs="Times New Roman"/>
          <w:szCs w:val="24"/>
        </w:rPr>
        <w:t xml:space="preserve">(purpose, definitions, </w:t>
      </w:r>
      <w:r>
        <w:rPr>
          <w:rFonts w:ascii="Times New Roman" w:eastAsia="標楷體" w:hAnsi="Times New Roman" w:cs="Times New Roman"/>
          <w:szCs w:val="24"/>
        </w:rPr>
        <w:t>general principles, and general obligations</w:t>
      </w:r>
      <w:r w:rsidR="00745A14" w:rsidRPr="00885A57">
        <w:rPr>
          <w:rFonts w:ascii="Times New Roman" w:eastAsia="標楷體" w:hAnsi="Times New Roman" w:cs="Times New Roman"/>
          <w:szCs w:val="24"/>
        </w:rPr>
        <w:t xml:space="preserve">) and </w:t>
      </w:r>
      <w:r>
        <w:rPr>
          <w:rFonts w:ascii="Times New Roman" w:eastAsia="標楷體" w:hAnsi="Times New Roman" w:cs="Times New Roman"/>
          <w:szCs w:val="24"/>
        </w:rPr>
        <w:t xml:space="preserve">Article </w:t>
      </w:r>
      <w:r w:rsidR="00745A14" w:rsidRPr="00885A57">
        <w:rPr>
          <w:rFonts w:ascii="Times New Roman" w:eastAsia="標楷體" w:hAnsi="Times New Roman" w:cs="Times New Roman"/>
          <w:szCs w:val="24"/>
        </w:rPr>
        <w:t>9</w:t>
      </w:r>
      <w:r>
        <w:rPr>
          <w:rFonts w:ascii="Times New Roman" w:eastAsia="標楷體" w:hAnsi="Times New Roman" w:cs="Times New Roman"/>
          <w:szCs w:val="24"/>
        </w:rPr>
        <w:t>: Accessibility</w:t>
      </w:r>
      <w:r w:rsidR="00745A14" w:rsidRPr="00885A57">
        <w:rPr>
          <w:rFonts w:ascii="Times New Roman" w:eastAsia="標楷體" w:hAnsi="Times New Roman" w:cs="Times New Roman"/>
          <w:szCs w:val="24"/>
        </w:rPr>
        <w:t xml:space="preserve"> </w:t>
      </w:r>
      <w:r>
        <w:rPr>
          <w:rFonts w:ascii="Times New Roman" w:eastAsia="標楷體" w:hAnsi="Times New Roman" w:cs="Times New Roman"/>
          <w:szCs w:val="24"/>
        </w:rPr>
        <w:t xml:space="preserve">of </w:t>
      </w:r>
      <w:r w:rsidR="00745A14" w:rsidRPr="00885A57">
        <w:rPr>
          <w:rFonts w:ascii="Times New Roman" w:eastAsia="標楷體" w:hAnsi="Times New Roman" w:cs="Times New Roman"/>
          <w:szCs w:val="24"/>
        </w:rPr>
        <w:t xml:space="preserve">this report, with penalties specified in the PDRPA. Accessibility facilities </w:t>
      </w:r>
      <w:r w:rsidR="00247573">
        <w:rPr>
          <w:rFonts w:ascii="Times New Roman" w:eastAsia="標楷體" w:hAnsi="Times New Roman" w:cs="Times New Roman"/>
          <w:szCs w:val="24"/>
        </w:rPr>
        <w:t xml:space="preserve">on the </w:t>
      </w:r>
      <w:r w:rsidR="00745A14" w:rsidRPr="00885A57">
        <w:rPr>
          <w:rFonts w:ascii="Times New Roman" w:eastAsia="標楷體" w:hAnsi="Times New Roman" w:cs="Times New Roman"/>
          <w:szCs w:val="24"/>
        </w:rPr>
        <w:t>Taiwan High Speed Rail</w:t>
      </w:r>
      <w:r w:rsidR="00247573">
        <w:rPr>
          <w:rFonts w:ascii="Times New Roman" w:eastAsia="標楷體" w:hAnsi="Times New Roman" w:cs="Times New Roman"/>
          <w:szCs w:val="24"/>
        </w:rPr>
        <w:t xml:space="preserve"> system</w:t>
      </w:r>
      <w:r w:rsidR="00745A14" w:rsidRPr="00885A57">
        <w:rPr>
          <w:rFonts w:ascii="Times New Roman" w:eastAsia="標楷體" w:hAnsi="Times New Roman" w:cs="Times New Roman"/>
          <w:szCs w:val="24"/>
        </w:rPr>
        <w:t xml:space="preserve">, </w:t>
      </w:r>
      <w:r w:rsidR="00247573">
        <w:rPr>
          <w:rFonts w:ascii="Times New Roman" w:eastAsia="標楷體" w:hAnsi="Times New Roman" w:cs="Times New Roman"/>
          <w:szCs w:val="24"/>
        </w:rPr>
        <w:t>subway systems</w:t>
      </w:r>
      <w:r w:rsidR="00745A14" w:rsidRPr="00885A57">
        <w:rPr>
          <w:rFonts w:ascii="Times New Roman" w:eastAsia="標楷體" w:hAnsi="Times New Roman" w:cs="Times New Roman"/>
          <w:szCs w:val="24"/>
        </w:rPr>
        <w:t xml:space="preserve">, and airlines </w:t>
      </w:r>
      <w:r w:rsidR="005F199B">
        <w:rPr>
          <w:rFonts w:ascii="Times New Roman" w:eastAsia="標楷體" w:hAnsi="Times New Roman" w:cs="Times New Roman"/>
          <w:szCs w:val="24"/>
        </w:rPr>
        <w:t>follow</w:t>
      </w:r>
      <w:r w:rsidR="00745A14" w:rsidRPr="00885A57">
        <w:rPr>
          <w:rFonts w:ascii="Times New Roman" w:eastAsia="標楷體" w:hAnsi="Times New Roman" w:cs="Times New Roman"/>
          <w:szCs w:val="24"/>
        </w:rPr>
        <w:t xml:space="preserve"> relevant regulations</w:t>
      </w:r>
      <w:r w:rsidR="00247573">
        <w:rPr>
          <w:rFonts w:ascii="Times New Roman" w:eastAsia="標楷體" w:hAnsi="Times New Roman" w:cs="Times New Roman"/>
          <w:szCs w:val="24"/>
        </w:rPr>
        <w:t>.</w:t>
      </w:r>
      <w:r w:rsidR="00247573" w:rsidRPr="00885A57">
        <w:rPr>
          <w:rFonts w:ascii="Times New Roman" w:eastAsia="標楷體" w:hAnsi="Times New Roman" w:cs="Times New Roman"/>
          <w:szCs w:val="24"/>
        </w:rPr>
        <w:t xml:space="preserve"> </w:t>
      </w:r>
      <w:r w:rsidR="00247573">
        <w:rPr>
          <w:rFonts w:ascii="Times New Roman" w:eastAsia="標楷體" w:hAnsi="Times New Roman" w:cs="Times New Roman"/>
          <w:szCs w:val="24"/>
        </w:rPr>
        <w:t>O</w:t>
      </w:r>
      <w:r w:rsidR="00247573" w:rsidRPr="00885A57">
        <w:rPr>
          <w:rFonts w:ascii="Times New Roman" w:eastAsia="標楷體" w:hAnsi="Times New Roman" w:cs="Times New Roman"/>
          <w:szCs w:val="24"/>
        </w:rPr>
        <w:t xml:space="preserve">ther </w:t>
      </w:r>
      <w:r w:rsidR="00745A14" w:rsidRPr="00885A57">
        <w:rPr>
          <w:rFonts w:ascii="Times New Roman" w:eastAsia="標楷體" w:hAnsi="Times New Roman" w:cs="Times New Roman"/>
          <w:szCs w:val="24"/>
        </w:rPr>
        <w:t>public transport</w:t>
      </w:r>
      <w:r w:rsidR="00E93DD0" w:rsidRPr="00885A57">
        <w:rPr>
          <w:rFonts w:ascii="Times New Roman" w:eastAsia="標楷體" w:hAnsi="Times New Roman" w:cs="Times New Roman"/>
          <w:szCs w:val="28"/>
        </w:rPr>
        <w:t>ation</w:t>
      </w:r>
      <w:r w:rsidR="00745A14" w:rsidRPr="00885A57">
        <w:rPr>
          <w:rFonts w:ascii="Times New Roman" w:eastAsia="標楷體" w:hAnsi="Times New Roman" w:cs="Times New Roman"/>
          <w:szCs w:val="24"/>
        </w:rPr>
        <w:t xml:space="preserve"> systems have been improved </w:t>
      </w:r>
      <w:bookmarkEnd w:id="67"/>
      <w:r w:rsidR="005F199B">
        <w:rPr>
          <w:rFonts w:ascii="Times New Roman" w:eastAsia="標楷體" w:hAnsi="Times New Roman" w:cs="Times New Roman"/>
          <w:szCs w:val="24"/>
        </w:rPr>
        <w:t>gradually</w:t>
      </w:r>
      <w:r w:rsidR="00745A14" w:rsidRPr="00885A57">
        <w:rPr>
          <w:rFonts w:ascii="Times New Roman" w:eastAsia="標楷體" w:hAnsi="Times New Roman" w:cs="Times New Roman"/>
          <w:szCs w:val="24"/>
        </w:rPr>
        <w:t>.</w:t>
      </w:r>
    </w:p>
    <w:p w14:paraId="78666CE5" w14:textId="74E5AE96" w:rsidR="00381D01" w:rsidRPr="00885A57" w:rsidRDefault="00745A14"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In the first phase of the project </w:t>
      </w:r>
      <w:r w:rsidR="00247573">
        <w:rPr>
          <w:rFonts w:ascii="Times New Roman" w:eastAsia="標楷體" w:hAnsi="Times New Roman" w:cs="Times New Roman"/>
          <w:szCs w:val="24"/>
        </w:rPr>
        <w:t xml:space="preserve">undertaken </w:t>
      </w:r>
      <w:r w:rsidRPr="00885A57">
        <w:rPr>
          <w:rFonts w:ascii="Times New Roman" w:eastAsia="標楷體" w:hAnsi="Times New Roman" w:cs="Times New Roman"/>
          <w:szCs w:val="24"/>
        </w:rPr>
        <w:t>by the Taiwan Railway</w:t>
      </w:r>
      <w:r w:rsidR="00281704">
        <w:rPr>
          <w:rFonts w:ascii="Times New Roman" w:eastAsia="標楷體" w:hAnsi="Times New Roman" w:cs="Times New Roman"/>
          <w:szCs w:val="24"/>
        </w:rPr>
        <w:t>s Administration</w:t>
      </w:r>
      <w:r w:rsidRPr="00885A57">
        <w:rPr>
          <w:rFonts w:ascii="Times New Roman" w:eastAsia="標楷體" w:hAnsi="Times New Roman" w:cs="Times New Roman"/>
          <w:szCs w:val="24"/>
        </w:rPr>
        <w:t xml:space="preserve"> to ensure equal heights between train station platforms and cars, the height of platforms at 40 stations </w:t>
      </w:r>
      <w:r w:rsidR="005F199B">
        <w:rPr>
          <w:rFonts w:ascii="Times New Roman" w:eastAsia="標楷體" w:hAnsi="Times New Roman" w:cs="Times New Roman"/>
          <w:szCs w:val="24"/>
        </w:rPr>
        <w:t>was</w:t>
      </w:r>
      <w:r w:rsidRPr="00885A57">
        <w:rPr>
          <w:rFonts w:ascii="Times New Roman" w:eastAsia="標楷體" w:hAnsi="Times New Roman" w:cs="Times New Roman"/>
          <w:szCs w:val="24"/>
        </w:rPr>
        <w:t xml:space="preserve"> increased to 115 cm by 2019. </w:t>
      </w:r>
      <w:r w:rsidR="00D7360D">
        <w:rPr>
          <w:rFonts w:ascii="Times New Roman" w:eastAsia="標楷體" w:hAnsi="Times New Roman" w:cs="Times New Roman"/>
          <w:szCs w:val="24"/>
        </w:rPr>
        <w:t xml:space="preserve">Efforts to increase </w:t>
      </w:r>
      <w:r w:rsidRPr="00885A57">
        <w:rPr>
          <w:rFonts w:ascii="Times New Roman" w:eastAsia="標楷體" w:hAnsi="Times New Roman" w:cs="Times New Roman"/>
          <w:szCs w:val="24"/>
        </w:rPr>
        <w:t>the height of 219 platforms and provid</w:t>
      </w:r>
      <w:r w:rsidR="00D7360D">
        <w:rPr>
          <w:rFonts w:ascii="Times New Roman" w:eastAsia="標楷體" w:hAnsi="Times New Roman" w:cs="Times New Roman"/>
          <w:szCs w:val="24"/>
        </w:rPr>
        <w:t>e</w:t>
      </w:r>
      <w:r w:rsidRPr="00885A57">
        <w:rPr>
          <w:rFonts w:ascii="Times New Roman" w:eastAsia="標楷體" w:hAnsi="Times New Roman" w:cs="Times New Roman"/>
          <w:szCs w:val="24"/>
        </w:rPr>
        <w:t xml:space="preserve"> step-free train cars are expected to be accomplished by 2022. Additionally, accessible elevators are scheduled to be installed in 149 stations that serve approximately 95</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passengers, and 182 stations will have such elevators by 2020, making the service available to 98.5</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all passengers (Tables 9.6</w:t>
      </w:r>
      <w:r w:rsidR="00281704">
        <w:rPr>
          <w:rFonts w:ascii="Times New Roman" w:eastAsia="標楷體" w:hAnsi="Times New Roman" w:cs="Times New Roman"/>
          <w:szCs w:val="24"/>
        </w:rPr>
        <w:t>-</w:t>
      </w:r>
      <w:r w:rsidRPr="00885A57">
        <w:rPr>
          <w:rFonts w:ascii="Times New Roman" w:eastAsia="標楷體" w:hAnsi="Times New Roman" w:cs="Times New Roman"/>
          <w:szCs w:val="24"/>
        </w:rPr>
        <w:t>9.8).</w:t>
      </w:r>
    </w:p>
    <w:p w14:paraId="3C81A18A" w14:textId="5AB73E82" w:rsidR="00381D01" w:rsidRPr="00885A57" w:rsidRDefault="00745A14" w:rsidP="00984708">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By implementing projects related to public road transport</w:t>
      </w:r>
      <w:r w:rsidR="00F256C9" w:rsidRPr="00885A57">
        <w:rPr>
          <w:rFonts w:ascii="Times New Roman" w:eastAsia="標楷體" w:hAnsi="Times New Roman" w:cs="Times New Roman"/>
          <w:szCs w:val="24"/>
        </w:rPr>
        <w:t>ation</w:t>
      </w:r>
      <w:r w:rsidRPr="00885A57">
        <w:rPr>
          <w:rFonts w:ascii="Times New Roman" w:eastAsia="標楷體" w:hAnsi="Times New Roman" w:cs="Times New Roman"/>
          <w:szCs w:val="24"/>
        </w:rPr>
        <w:t xml:space="preserve">, the Ministry of Transportation and Communications (hereinafter referred to as the MOTC) continues to improve accessible services on city and intercity buses. As of 2019, the percentage of </w:t>
      </w:r>
      <w:r w:rsidR="00722359" w:rsidRPr="00722359">
        <w:rPr>
          <w:rFonts w:ascii="Times New Roman" w:eastAsia="標楷體" w:hAnsi="Times New Roman" w:cs="Times New Roman"/>
          <w:szCs w:val="24"/>
        </w:rPr>
        <w:t>accessible</w:t>
      </w:r>
      <w:r w:rsidRPr="00885A57">
        <w:rPr>
          <w:rFonts w:ascii="Times New Roman" w:eastAsia="標楷體" w:hAnsi="Times New Roman" w:cs="Times New Roman"/>
          <w:szCs w:val="24"/>
        </w:rPr>
        <w:t xml:space="preserve"> buses ha</w:t>
      </w:r>
      <w:r w:rsidR="00D7360D">
        <w:rPr>
          <w:rFonts w:ascii="Times New Roman" w:eastAsia="標楷體" w:hAnsi="Times New Roman" w:cs="Times New Roman"/>
          <w:szCs w:val="24"/>
        </w:rPr>
        <w:t>d</w:t>
      </w:r>
      <w:r w:rsidRPr="00885A57">
        <w:rPr>
          <w:rFonts w:ascii="Times New Roman" w:eastAsia="標楷體" w:hAnsi="Times New Roman" w:cs="Times New Roman"/>
          <w:szCs w:val="24"/>
        </w:rPr>
        <w:t xml:space="preserve"> increased to roughly 67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all city buses, and the percentage of routes with </w:t>
      </w:r>
      <w:r w:rsidR="00722359" w:rsidRPr="00722359">
        <w:rPr>
          <w:rFonts w:ascii="Times New Roman" w:eastAsia="標楷體" w:hAnsi="Times New Roman" w:cs="Times New Roman"/>
          <w:szCs w:val="24"/>
        </w:rPr>
        <w:t>accessible</w:t>
      </w:r>
      <w:r w:rsidRPr="00885A57">
        <w:rPr>
          <w:rFonts w:ascii="Times New Roman" w:eastAsia="標楷體" w:hAnsi="Times New Roman" w:cs="Times New Roman"/>
          <w:szCs w:val="24"/>
        </w:rPr>
        <w:t xml:space="preserve"> intercity buses reached 83</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Through revising the original </w:t>
      </w:r>
      <w:r w:rsidR="00D7360D">
        <w:rPr>
          <w:rFonts w:ascii="Times New Roman" w:eastAsia="標楷體" w:hAnsi="Times New Roman" w:cs="Times New Roman"/>
          <w:szCs w:val="24"/>
        </w:rPr>
        <w:t xml:space="preserve">subsidy </w:t>
      </w:r>
      <w:r w:rsidRPr="00885A57">
        <w:rPr>
          <w:rFonts w:ascii="Times New Roman" w:eastAsia="標楷體" w:hAnsi="Times New Roman" w:cs="Times New Roman"/>
          <w:szCs w:val="24"/>
        </w:rPr>
        <w:t xml:space="preserve">mechanism and implementing the </w:t>
      </w:r>
      <w:r w:rsidRPr="00885A57">
        <w:rPr>
          <w:rFonts w:ascii="Times New Roman" w:eastAsia="標楷體" w:hAnsi="Times New Roman" w:cs="Times New Roman"/>
          <w:szCs w:val="24"/>
        </w:rPr>
        <w:lastRenderedPageBreak/>
        <w:t>Happiness Bus program (i.e., a demand</w:t>
      </w:r>
      <w:r w:rsidR="00D7360D">
        <w:rPr>
          <w:rFonts w:ascii="Times New Roman" w:eastAsia="標楷體" w:hAnsi="Times New Roman" w:cs="Times New Roman"/>
          <w:szCs w:val="24"/>
        </w:rPr>
        <w:t>-</w:t>
      </w:r>
      <w:r w:rsidRPr="00885A57">
        <w:rPr>
          <w:rFonts w:ascii="Times New Roman" w:eastAsia="標楷體" w:hAnsi="Times New Roman" w:cs="Times New Roman"/>
          <w:szCs w:val="24"/>
        </w:rPr>
        <w:t>responsive transit service), the MOTC is aiming to improve bus services in remote areas. To provide more transportation options and greater freedom of movement for individuals</w:t>
      </w:r>
      <w:r w:rsidR="00EA0502" w:rsidRPr="00885A57">
        <w:rPr>
          <w:rFonts w:ascii="Times New Roman" w:eastAsia="標楷體" w:hAnsi="Times New Roman" w:cs="Times New Roman"/>
          <w:szCs w:val="24"/>
        </w:rPr>
        <w:t xml:space="preserve"> with physical impairment</w:t>
      </w:r>
      <w:r w:rsidR="00D7360D">
        <w:rPr>
          <w:rFonts w:ascii="Times New Roman" w:eastAsia="標楷體" w:hAnsi="Times New Roman" w:cs="Times New Roman"/>
          <w:szCs w:val="24"/>
        </w:rPr>
        <w:t>s</w:t>
      </w:r>
      <w:r w:rsidRPr="00885A57">
        <w:rPr>
          <w:rFonts w:ascii="Times New Roman" w:eastAsia="標楷體" w:hAnsi="Times New Roman" w:cs="Times New Roman"/>
          <w:szCs w:val="24"/>
        </w:rPr>
        <w:t xml:space="preserve">, the MOTC encourages local governments and guides businesses to invest in accessible taxi services. As of August 2020, </w:t>
      </w:r>
      <w:r w:rsidR="00D7360D">
        <w:rPr>
          <w:rFonts w:ascii="Times New Roman" w:eastAsia="標楷體" w:hAnsi="Times New Roman" w:cs="Times New Roman"/>
          <w:szCs w:val="24"/>
        </w:rPr>
        <w:t xml:space="preserve">980 </w:t>
      </w:r>
      <w:r w:rsidRPr="00885A57">
        <w:rPr>
          <w:rFonts w:ascii="Times New Roman" w:eastAsia="標楷體" w:hAnsi="Times New Roman" w:cs="Times New Roman"/>
          <w:szCs w:val="24"/>
        </w:rPr>
        <w:t xml:space="preserve">accessible taxis for individuals </w:t>
      </w:r>
      <w:r w:rsidR="00EA0502" w:rsidRPr="00885A57">
        <w:rPr>
          <w:rFonts w:ascii="Times New Roman" w:eastAsia="標楷體" w:hAnsi="Times New Roman" w:cs="Times New Roman"/>
          <w:szCs w:val="24"/>
        </w:rPr>
        <w:t xml:space="preserve">with physical impairment </w:t>
      </w:r>
      <w:r w:rsidR="00D7360D">
        <w:rPr>
          <w:rFonts w:ascii="Times New Roman" w:eastAsia="標楷體" w:hAnsi="Times New Roman" w:cs="Times New Roman"/>
          <w:szCs w:val="24"/>
        </w:rPr>
        <w:t>were in service</w:t>
      </w:r>
      <w:r w:rsidRPr="00885A57">
        <w:rPr>
          <w:rFonts w:ascii="Times New Roman" w:eastAsia="標楷體" w:hAnsi="Times New Roman" w:cs="Times New Roman"/>
          <w:szCs w:val="24"/>
        </w:rPr>
        <w:t>. To provide more appropriate accessible services, the government has invited people with disabilities to take such taxis as mystery customers and rate the service in service evaluation systems. (Tables 9.9</w:t>
      </w:r>
      <w:r w:rsidR="00281704">
        <w:rPr>
          <w:rFonts w:ascii="Times New Roman" w:eastAsia="標楷體" w:hAnsi="Times New Roman" w:cs="Times New Roman"/>
          <w:szCs w:val="24"/>
        </w:rPr>
        <w:t>-</w:t>
      </w:r>
      <w:r w:rsidRPr="00885A57">
        <w:rPr>
          <w:rFonts w:ascii="Times New Roman" w:eastAsia="標楷體" w:hAnsi="Times New Roman" w:cs="Times New Roman"/>
          <w:szCs w:val="24"/>
        </w:rPr>
        <w:t>9.12). By 2019, a total of 2,164 rehabilitation buses were available to provide transportation services for people with disabilities (Table 9.13).</w:t>
      </w:r>
    </w:p>
    <w:p w14:paraId="46B5231E" w14:textId="42E5EF26" w:rsidR="009B4852" w:rsidRPr="00885A57" w:rsidRDefault="00745A14"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improve the design of accessible facilities on vessels and the management of accessible equipment and facilities on new passenger ships, </w:t>
      </w:r>
      <w:r w:rsidR="008E2B09" w:rsidRPr="00885A57">
        <w:rPr>
          <w:rFonts w:ascii="Times New Roman" w:eastAsia="標楷體" w:hAnsi="Times New Roman" w:cs="Times New Roman"/>
          <w:szCs w:val="24"/>
        </w:rPr>
        <w:t>t</w:t>
      </w:r>
      <w:r w:rsidRPr="00885A57">
        <w:rPr>
          <w:rFonts w:ascii="Times New Roman" w:eastAsia="標楷體" w:hAnsi="Times New Roman" w:cs="Times New Roman"/>
          <w:szCs w:val="24"/>
        </w:rPr>
        <w:t xml:space="preserve">he </w:t>
      </w:r>
      <w:r w:rsidRPr="002153DE">
        <w:rPr>
          <w:rFonts w:ascii="Times New Roman" w:eastAsia="標楷體" w:hAnsi="Times New Roman" w:cs="Times New Roman"/>
          <w:iCs/>
          <w:szCs w:val="24"/>
        </w:rPr>
        <w:t>Regulations for Administrating Passenger Ship</w:t>
      </w:r>
      <w:r w:rsidR="00281704">
        <w:rPr>
          <w:rFonts w:ascii="Times New Roman" w:eastAsia="標楷體" w:hAnsi="Times New Roman" w:cs="Times New Roman"/>
          <w:iCs/>
          <w:szCs w:val="24"/>
        </w:rPr>
        <w:t>s</w:t>
      </w:r>
      <w:r w:rsidRPr="00885A57">
        <w:rPr>
          <w:rFonts w:ascii="Times New Roman" w:eastAsia="標楷體" w:hAnsi="Times New Roman" w:cs="Times New Roman"/>
          <w:szCs w:val="24"/>
        </w:rPr>
        <w:t xml:space="preserve"> stipulate that passenger ships manufactured after January 2017 must have accessible facilities installed. Since 2018, the MOTC has implemented </w:t>
      </w:r>
      <w:r w:rsidR="0063303A">
        <w:rPr>
          <w:rFonts w:ascii="Times New Roman" w:eastAsia="標楷體" w:hAnsi="Times New Roman" w:cs="Times New Roman"/>
          <w:szCs w:val="24"/>
        </w:rPr>
        <w:t xml:space="preserve">subsidy </w:t>
      </w:r>
      <w:r w:rsidRPr="00885A57">
        <w:rPr>
          <w:rFonts w:ascii="Times New Roman" w:eastAsia="標楷體" w:hAnsi="Times New Roman" w:cs="Times New Roman"/>
          <w:szCs w:val="24"/>
        </w:rPr>
        <w:t xml:space="preserve">programs to assist local governments in improving shore facilities and has encouraged businesses to improve accessible facilities on passenger ships. As of 2019, accessibility design on 19 of 31 fixed passenger </w:t>
      </w:r>
      <w:r w:rsidR="00475330" w:rsidRPr="00885A57">
        <w:rPr>
          <w:rFonts w:ascii="Times New Roman" w:eastAsia="標楷體" w:hAnsi="Times New Roman" w:cs="Times New Roman"/>
          <w:szCs w:val="24"/>
        </w:rPr>
        <w:t>ferry</w:t>
      </w:r>
      <w:r w:rsidRPr="00885A57">
        <w:rPr>
          <w:rFonts w:ascii="Times New Roman" w:eastAsia="標楷體" w:hAnsi="Times New Roman" w:cs="Times New Roman"/>
          <w:szCs w:val="24"/>
        </w:rPr>
        <w:t xml:space="preserve"> routes had been completed (Table 9.14).</w:t>
      </w:r>
    </w:p>
    <w:p w14:paraId="60B7EA45" w14:textId="5C017363" w:rsidR="00071047" w:rsidRPr="00885A57" w:rsidRDefault="00745A14"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improve accessibility </w:t>
      </w:r>
      <w:r w:rsidR="0063303A">
        <w:rPr>
          <w:rFonts w:ascii="Times New Roman" w:eastAsia="標楷體" w:hAnsi="Times New Roman" w:cs="Times New Roman"/>
          <w:szCs w:val="24"/>
        </w:rPr>
        <w:t xml:space="preserve">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various disabilities taking public transport</w:t>
      </w:r>
      <w:r w:rsidR="00F256C9" w:rsidRPr="00885A57">
        <w:rPr>
          <w:rFonts w:ascii="Times New Roman" w:eastAsia="標楷體" w:hAnsi="Times New Roman" w:cs="Times New Roman"/>
          <w:szCs w:val="24"/>
        </w:rPr>
        <w:t>ation</w:t>
      </w:r>
      <w:r w:rsidRPr="00885A57">
        <w:rPr>
          <w:rFonts w:ascii="Times New Roman" w:eastAsia="標楷體" w:hAnsi="Times New Roman" w:cs="Times New Roman"/>
          <w:szCs w:val="24"/>
        </w:rPr>
        <w:t xml:space="preserve">, the government has promulgated regulations pertaining to the standard operating procedures for serving passengers with disabilities and to the procedures for operating accessible facilities. The government has also requested </w:t>
      </w:r>
      <w:r w:rsidRPr="00885A57">
        <w:rPr>
          <w:rFonts w:ascii="Times New Roman" w:eastAsia="標楷體" w:hAnsi="Times New Roman" w:cs="Times New Roman"/>
          <w:szCs w:val="24"/>
        </w:rPr>
        <w:lastRenderedPageBreak/>
        <w:t>public transport</w:t>
      </w:r>
      <w:r w:rsidR="00E93DD0" w:rsidRPr="00885A57">
        <w:rPr>
          <w:rFonts w:ascii="Times New Roman" w:eastAsia="標楷體" w:hAnsi="Times New Roman" w:cs="Times New Roman"/>
          <w:szCs w:val="28"/>
        </w:rPr>
        <w:t>ation</w:t>
      </w:r>
      <w:r w:rsidRPr="00885A57">
        <w:rPr>
          <w:rFonts w:ascii="Times New Roman" w:eastAsia="標楷體" w:hAnsi="Times New Roman" w:cs="Times New Roman"/>
          <w:szCs w:val="24"/>
        </w:rPr>
        <w:t xml:space="preserve"> personnel to provide human guides and to regularly attend service courses and facility operation trainings/simulations; station guides for people with disabilities are available at departure station</w:t>
      </w:r>
      <w:r w:rsidR="0063303A">
        <w:rPr>
          <w:rFonts w:ascii="Times New Roman" w:eastAsia="標楷體" w:hAnsi="Times New Roman" w:cs="Times New Roman"/>
          <w:szCs w:val="24"/>
        </w:rPr>
        <w:t>s</w:t>
      </w:r>
      <w:r w:rsidRPr="00885A57">
        <w:rPr>
          <w:rFonts w:ascii="Times New Roman" w:eastAsia="標楷體" w:hAnsi="Times New Roman" w:cs="Times New Roman"/>
          <w:szCs w:val="24"/>
        </w:rPr>
        <w:t>, on transportation carrier</w:t>
      </w:r>
      <w:r w:rsidR="0063303A">
        <w:rPr>
          <w:rFonts w:ascii="Times New Roman" w:eastAsia="標楷體" w:hAnsi="Times New Roman" w:cs="Times New Roman"/>
          <w:szCs w:val="24"/>
        </w:rPr>
        <w:t>s</w:t>
      </w:r>
      <w:r w:rsidRPr="00885A57">
        <w:rPr>
          <w:rFonts w:ascii="Times New Roman" w:eastAsia="標楷體" w:hAnsi="Times New Roman" w:cs="Times New Roman"/>
          <w:szCs w:val="24"/>
        </w:rPr>
        <w:t>, and at destination station</w:t>
      </w:r>
      <w:r w:rsidR="0063303A">
        <w:rPr>
          <w:rFonts w:ascii="Times New Roman" w:eastAsia="標楷體" w:hAnsi="Times New Roman" w:cs="Times New Roman"/>
          <w:szCs w:val="24"/>
        </w:rPr>
        <w:t>s</w:t>
      </w:r>
      <w:r w:rsidRPr="00885A57">
        <w:rPr>
          <w:rFonts w:ascii="Times New Roman" w:eastAsia="標楷體" w:hAnsi="Times New Roman" w:cs="Times New Roman"/>
          <w:szCs w:val="24"/>
        </w:rPr>
        <w:t xml:space="preserve">, during which service responsibility is relayed from one staff </w:t>
      </w:r>
      <w:r w:rsidR="0063303A">
        <w:rPr>
          <w:rFonts w:ascii="Times New Roman" w:eastAsia="標楷體" w:hAnsi="Times New Roman" w:cs="Times New Roman"/>
          <w:szCs w:val="24"/>
        </w:rPr>
        <w:t xml:space="preserve">member </w:t>
      </w:r>
      <w:r w:rsidRPr="00885A57">
        <w:rPr>
          <w:rFonts w:ascii="Times New Roman" w:eastAsia="標楷體" w:hAnsi="Times New Roman" w:cs="Times New Roman"/>
          <w:szCs w:val="24"/>
        </w:rPr>
        <w:t xml:space="preserve">to the other, thereby ensuring </w:t>
      </w:r>
      <w:r w:rsidR="0063303A">
        <w:rPr>
          <w:rFonts w:ascii="Times New Roman" w:eastAsia="標楷體" w:hAnsi="Times New Roman" w:cs="Times New Roman"/>
          <w:szCs w:val="24"/>
        </w:rPr>
        <w:t xml:space="preserve">the passenger’s </w:t>
      </w:r>
      <w:r w:rsidRPr="00885A57">
        <w:rPr>
          <w:rFonts w:ascii="Times New Roman" w:eastAsia="標楷體" w:hAnsi="Times New Roman" w:cs="Times New Roman"/>
          <w:szCs w:val="24"/>
        </w:rPr>
        <w:t xml:space="preserve">safe arrival. The Project for Promotion of Accessible Transportation Environments, </w:t>
      </w:r>
      <w:r w:rsidR="00281704">
        <w:rPr>
          <w:rFonts w:ascii="Times New Roman" w:eastAsia="標楷體" w:hAnsi="Times New Roman" w:cs="Times New Roman"/>
          <w:szCs w:val="24"/>
        </w:rPr>
        <w:t xml:space="preserve">launched </w:t>
      </w:r>
      <w:r w:rsidRPr="00885A57">
        <w:rPr>
          <w:rFonts w:ascii="Times New Roman" w:eastAsia="標楷體" w:hAnsi="Times New Roman" w:cs="Times New Roman"/>
          <w:szCs w:val="24"/>
        </w:rPr>
        <w:t>by the MOTC</w:t>
      </w:r>
      <w:r w:rsidR="00281704">
        <w:rPr>
          <w:rFonts w:ascii="Times New Roman" w:eastAsia="標楷體" w:hAnsi="Times New Roman" w:cs="Times New Roman"/>
          <w:szCs w:val="24"/>
        </w:rPr>
        <w:t>,</w:t>
      </w:r>
      <w:r w:rsidRPr="00885A57">
        <w:rPr>
          <w:rFonts w:ascii="Times New Roman" w:eastAsia="標楷體" w:hAnsi="Times New Roman" w:cs="Times New Roman"/>
          <w:szCs w:val="24"/>
        </w:rPr>
        <w:t xml:space="preserve"> invites people with disabilities and their representative organizations to inspect relevant accessible facilities and help improve service quality.</w:t>
      </w:r>
    </w:p>
    <w:p w14:paraId="32B0D6C6" w14:textId="68808566" w:rsidR="008879DE" w:rsidRPr="001C09C5" w:rsidRDefault="00875E86"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68" w:name="_Ref55908726"/>
      <w:r w:rsidRPr="001C09C5">
        <w:rPr>
          <w:rFonts w:ascii="Times New Roman" w:eastAsia="標楷體" w:hAnsi="Times New Roman" w:cs="Times New Roman"/>
        </w:rPr>
        <w:t xml:space="preserve">The MOI hosts the Evaluation Project </w:t>
      </w:r>
      <w:r w:rsidR="001C09C5">
        <w:rPr>
          <w:rFonts w:ascii="Times New Roman" w:eastAsia="標楷體" w:hAnsi="Times New Roman" w:cs="Times New Roman"/>
        </w:rPr>
        <w:t>of</w:t>
      </w:r>
      <w:r w:rsidR="00281704" w:rsidRPr="001C09C5">
        <w:rPr>
          <w:rFonts w:ascii="Times New Roman" w:eastAsia="標楷體" w:hAnsi="Times New Roman" w:cs="Times New Roman"/>
        </w:rPr>
        <w:t xml:space="preserve"> </w:t>
      </w:r>
      <w:r w:rsidRPr="001C09C5">
        <w:rPr>
          <w:rFonts w:ascii="Times New Roman" w:eastAsia="標楷體" w:hAnsi="Times New Roman" w:cs="Times New Roman"/>
        </w:rPr>
        <w:t>Urban Road Maintenance and Management and Sidewalk Accessibility every year, inviting people with disabilities and their representative organizations, experts and scholars, and the MOTC to form evaluation teams to perform onsite and policy assessments. The</w:t>
      </w:r>
      <w:r w:rsidR="0063303A" w:rsidRPr="001C09C5">
        <w:rPr>
          <w:rFonts w:ascii="Times New Roman" w:eastAsia="標楷體" w:hAnsi="Times New Roman" w:cs="Times New Roman"/>
        </w:rPr>
        <w:t>se</w:t>
      </w:r>
      <w:r w:rsidRPr="001C09C5">
        <w:rPr>
          <w:rFonts w:ascii="Times New Roman" w:eastAsia="標楷體" w:hAnsi="Times New Roman" w:cs="Times New Roman"/>
        </w:rPr>
        <w:t xml:space="preserve"> assessments are aimed at prompting local governments to emphasize maintenance of urban roads, effectively promote the construction of urban accessible sidewalks, and promote the idea of public rights of way. </w:t>
      </w:r>
      <w:r w:rsidR="0063303A" w:rsidRPr="001C09C5">
        <w:rPr>
          <w:rFonts w:ascii="Times New Roman" w:eastAsia="標楷體" w:hAnsi="Times New Roman" w:cs="Times New Roman"/>
        </w:rPr>
        <w:t xml:space="preserve">Through these efforts, </w:t>
      </w:r>
      <w:r w:rsidRPr="001C09C5">
        <w:rPr>
          <w:rFonts w:ascii="Times New Roman" w:eastAsia="標楷體" w:hAnsi="Times New Roman" w:cs="Times New Roman"/>
        </w:rPr>
        <w:t xml:space="preserve">pedestrian safety can be guaranteed. Local government data </w:t>
      </w:r>
      <w:r w:rsidR="0063303A" w:rsidRPr="001C09C5">
        <w:rPr>
          <w:rFonts w:ascii="Times New Roman" w:eastAsia="標楷體" w:hAnsi="Times New Roman" w:cs="Times New Roman"/>
        </w:rPr>
        <w:t xml:space="preserve">shows </w:t>
      </w:r>
      <w:r w:rsidRPr="001C09C5">
        <w:rPr>
          <w:rFonts w:ascii="Times New Roman" w:eastAsia="標楷體" w:hAnsi="Times New Roman" w:cs="Times New Roman"/>
        </w:rPr>
        <w:t>that the prevalence of sidewalks increased from 37</w:t>
      </w:r>
      <w:r w:rsidR="00787A2A" w:rsidRPr="001C09C5">
        <w:rPr>
          <w:rFonts w:ascii="Times New Roman" w:eastAsia="標楷體" w:hAnsi="Times New Roman" w:cs="Times New Roman"/>
        </w:rPr>
        <w:t xml:space="preserve"> percent</w:t>
      </w:r>
      <w:r w:rsidRPr="001C09C5">
        <w:rPr>
          <w:rFonts w:ascii="Times New Roman" w:eastAsia="標楷體" w:hAnsi="Times New Roman" w:cs="Times New Roman"/>
        </w:rPr>
        <w:t xml:space="preserve"> in 2016 to 42</w:t>
      </w:r>
      <w:r w:rsidR="00787A2A" w:rsidRPr="001C09C5">
        <w:rPr>
          <w:rFonts w:ascii="Times New Roman" w:eastAsia="標楷體" w:hAnsi="Times New Roman" w:cs="Times New Roman"/>
        </w:rPr>
        <w:t xml:space="preserve"> percent</w:t>
      </w:r>
      <w:r w:rsidRPr="001C09C5">
        <w:rPr>
          <w:rFonts w:ascii="Times New Roman" w:eastAsia="標楷體" w:hAnsi="Times New Roman" w:cs="Times New Roman"/>
        </w:rPr>
        <w:t xml:space="preserve"> in 2019</w:t>
      </w:r>
      <w:bookmarkEnd w:id="68"/>
      <w:r w:rsidRPr="001C09C5">
        <w:rPr>
          <w:rFonts w:ascii="Times New Roman" w:eastAsia="標楷體" w:hAnsi="Times New Roman" w:cs="Times New Roman"/>
        </w:rPr>
        <w:t>.</w:t>
      </w:r>
      <w:r w:rsidRPr="001C09C5">
        <w:rPr>
          <w:rStyle w:val="ab"/>
          <w:rFonts w:ascii="Times New Roman" w:eastAsia="標楷體" w:hAnsi="Times New Roman" w:cs="Times New Roman"/>
        </w:rPr>
        <w:footnoteReference w:id="42"/>
      </w:r>
    </w:p>
    <w:p w14:paraId="452C2B44" w14:textId="734B80AE" w:rsidR="002D5988" w:rsidRPr="00885A57" w:rsidRDefault="00875E86" w:rsidP="001A2139">
      <w:pPr>
        <w:pStyle w:val="a7"/>
        <w:numPr>
          <w:ilvl w:val="0"/>
          <w:numId w:val="7"/>
        </w:numPr>
        <w:spacing w:after="120" w:line="360" w:lineRule="auto"/>
        <w:ind w:leftChars="0"/>
        <w:jc w:val="both"/>
        <w:rPr>
          <w:rFonts w:ascii="Times New Roman" w:eastAsia="標楷體" w:hAnsi="Times New Roman" w:cs="Times New Roman"/>
          <w:bCs/>
        </w:rPr>
      </w:pPr>
      <w:r w:rsidRPr="00885A57">
        <w:rPr>
          <w:rFonts w:ascii="Times New Roman" w:eastAsia="標楷體" w:hAnsi="Times New Roman" w:cs="Times New Roman"/>
          <w:bCs/>
          <w:szCs w:val="24"/>
        </w:rPr>
        <w:t>Information accessibility</w:t>
      </w:r>
    </w:p>
    <w:p w14:paraId="60A7F14D" w14:textId="7A1FDD9A" w:rsidR="00220547" w:rsidRPr="004E7849" w:rsidRDefault="00CF5A36"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69" w:name="_Ref55911478"/>
      <w:bookmarkStart w:id="70" w:name="_Ref47423633"/>
      <w:r w:rsidRPr="004E7849">
        <w:rPr>
          <w:rFonts w:ascii="Times New Roman" w:eastAsia="標楷體" w:hAnsi="Times New Roman" w:cs="Times New Roman"/>
          <w:szCs w:val="24"/>
        </w:rPr>
        <w:t xml:space="preserve">Since 2018, the MOHW has facilitated </w:t>
      </w:r>
      <w:r w:rsidR="00166FF9" w:rsidRPr="004E7849">
        <w:rPr>
          <w:rFonts w:ascii="Times New Roman" w:eastAsia="標楷體" w:hAnsi="Times New Roman" w:cs="Times New Roman"/>
          <w:szCs w:val="24"/>
        </w:rPr>
        <w:t>t</w:t>
      </w:r>
      <w:r w:rsidRPr="006F6360">
        <w:rPr>
          <w:rFonts w:ascii="Times New Roman" w:eastAsia="標楷體" w:hAnsi="Times New Roman" w:cs="Times New Roman"/>
          <w:szCs w:val="24"/>
        </w:rPr>
        <w:t>raining for government</w:t>
      </w:r>
      <w:r w:rsidR="003E6F92" w:rsidRPr="006F6360">
        <w:rPr>
          <w:rFonts w:ascii="Times New Roman" w:eastAsia="標楷體" w:hAnsi="Times New Roman" w:cs="Times New Roman"/>
          <w:szCs w:val="24"/>
        </w:rPr>
        <w:t xml:space="preserve"> </w:t>
      </w:r>
      <w:r w:rsidRPr="006F6360">
        <w:rPr>
          <w:rFonts w:ascii="Times New Roman" w:eastAsia="標楷體" w:hAnsi="Times New Roman" w:cs="Times New Roman"/>
          <w:szCs w:val="24"/>
        </w:rPr>
        <w:t xml:space="preserve">personnel </w:t>
      </w:r>
      <w:r w:rsidR="007B02C6" w:rsidRPr="00D65ED6">
        <w:rPr>
          <w:rFonts w:ascii="Times New Roman" w:eastAsia="標楷體" w:hAnsi="Times New Roman" w:cs="Times New Roman"/>
          <w:szCs w:val="24"/>
        </w:rPr>
        <w:t xml:space="preserve">at </w:t>
      </w:r>
      <w:r w:rsidRPr="00D65ED6">
        <w:rPr>
          <w:rFonts w:ascii="Times New Roman" w:eastAsia="標楷體" w:hAnsi="Times New Roman" w:cs="Times New Roman"/>
          <w:szCs w:val="24"/>
        </w:rPr>
        <w:t xml:space="preserve">all </w:t>
      </w:r>
      <w:r w:rsidRPr="00D65ED6">
        <w:rPr>
          <w:rFonts w:ascii="Times New Roman" w:eastAsia="標楷體" w:hAnsi="Times New Roman" w:cs="Times New Roman"/>
          <w:szCs w:val="24"/>
        </w:rPr>
        <w:lastRenderedPageBreak/>
        <w:t xml:space="preserve">levels for the introduction to and promotion of the </w:t>
      </w:r>
      <w:r w:rsidR="00931A86">
        <w:rPr>
          <w:rFonts w:ascii="Times New Roman" w:eastAsia="標楷體" w:hAnsi="Times New Roman" w:cs="Times New Roman"/>
          <w:szCs w:val="24"/>
        </w:rPr>
        <w:t>easy-to-read</w:t>
      </w:r>
      <w:r w:rsidRPr="00D65ED6">
        <w:rPr>
          <w:rFonts w:ascii="Times New Roman" w:eastAsia="標楷體" w:hAnsi="Times New Roman" w:cs="Times New Roman"/>
          <w:szCs w:val="24"/>
        </w:rPr>
        <w:t xml:space="preserve"> concept. The MOHW, Ministry of Culture (hereinafter referred to as </w:t>
      </w:r>
      <w:r w:rsidR="001C09C5">
        <w:rPr>
          <w:rFonts w:ascii="Times New Roman" w:eastAsia="標楷體" w:hAnsi="Times New Roman" w:cs="Times New Roman"/>
          <w:szCs w:val="24"/>
        </w:rPr>
        <w:t xml:space="preserve">the </w:t>
      </w:r>
      <w:r w:rsidRPr="00D65ED6">
        <w:rPr>
          <w:rFonts w:ascii="Times New Roman" w:eastAsia="標楷體" w:hAnsi="Times New Roman" w:cs="Times New Roman"/>
          <w:szCs w:val="24"/>
        </w:rPr>
        <w:t xml:space="preserve">MOC), Central Election </w:t>
      </w:r>
      <w:r w:rsidR="007B02C6" w:rsidRPr="004E7849">
        <w:rPr>
          <w:rFonts w:ascii="Times New Roman" w:eastAsia="標楷體" w:hAnsi="Times New Roman" w:cs="Times New Roman"/>
          <w:szCs w:val="24"/>
        </w:rPr>
        <w:t>Commission</w:t>
      </w:r>
      <w:r w:rsidRPr="004E7849">
        <w:rPr>
          <w:rFonts w:ascii="Times New Roman" w:eastAsia="標楷體" w:hAnsi="Times New Roman" w:cs="Times New Roman"/>
          <w:szCs w:val="24"/>
        </w:rPr>
        <w:t xml:space="preserve">, and nine local governments (including Taipei City) have produced </w:t>
      </w:r>
      <w:r w:rsidR="00931A86">
        <w:rPr>
          <w:rFonts w:ascii="Times New Roman" w:eastAsia="標楷體" w:hAnsi="Times New Roman" w:cs="Times New Roman"/>
          <w:szCs w:val="24"/>
        </w:rPr>
        <w:t>easy-to-read</w:t>
      </w:r>
      <w:r w:rsidRPr="004E7849">
        <w:rPr>
          <w:rFonts w:ascii="Times New Roman" w:eastAsia="標楷體" w:hAnsi="Times New Roman" w:cs="Times New Roman"/>
          <w:szCs w:val="24"/>
        </w:rPr>
        <w:t xml:space="preserve"> publications on education, employment, election, cultural lifestyles, the Concluding Observations of the Initial Report of t</w:t>
      </w:r>
      <w:r w:rsidR="00070E6F" w:rsidRPr="004E7849">
        <w:rPr>
          <w:rFonts w:ascii="Times New Roman" w:eastAsia="標楷體" w:hAnsi="Times New Roman" w:cs="Times New Roman"/>
          <w:szCs w:val="24"/>
        </w:rPr>
        <w:t>he Republic of China (Taiwan) under</w:t>
      </w:r>
      <w:r w:rsidRPr="004E7849">
        <w:rPr>
          <w:rFonts w:ascii="Times New Roman" w:eastAsia="標楷體" w:hAnsi="Times New Roman" w:cs="Times New Roman"/>
          <w:szCs w:val="24"/>
        </w:rPr>
        <w:t xml:space="preserve"> the CRPD, and COVID-19 epidemic prevention measures,</w:t>
      </w:r>
      <w:r w:rsidRPr="004E7849">
        <w:rPr>
          <w:rStyle w:val="ab"/>
          <w:rFonts w:ascii="Times New Roman" w:eastAsia="標楷體" w:hAnsi="Times New Roman" w:cs="Times New Roman"/>
          <w:szCs w:val="28"/>
        </w:rPr>
        <w:footnoteReference w:id="43"/>
      </w:r>
      <w:r w:rsidRPr="004E7849">
        <w:rPr>
          <w:rFonts w:ascii="Times New Roman" w:eastAsia="標楷體" w:hAnsi="Times New Roman" w:cs="Times New Roman"/>
          <w:szCs w:val="24"/>
        </w:rPr>
        <w:t xml:space="preserve"> thereby protecting the right of access to information of people with disabilities.</w:t>
      </w:r>
      <w:bookmarkEnd w:id="69"/>
      <w:r w:rsidRPr="004E7849">
        <w:rPr>
          <w:rStyle w:val="ab"/>
          <w:rFonts w:ascii="Times New Roman" w:eastAsia="標楷體" w:hAnsi="Times New Roman" w:cs="Times New Roman"/>
        </w:rPr>
        <w:footnoteReference w:id="44"/>
      </w:r>
    </w:p>
    <w:bookmarkEnd w:id="70"/>
    <w:p w14:paraId="4468CBDE" w14:textId="1C313C5D" w:rsidR="00A168C2" w:rsidRPr="00885A57" w:rsidRDefault="00CF5A36"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In May 2020, reminders concerning sign language interpreting and </w:t>
      </w:r>
      <w:r w:rsidR="00B910E2">
        <w:rPr>
          <w:rFonts w:ascii="Times New Roman" w:eastAsia="標楷體" w:hAnsi="Times New Roman" w:cs="Times New Roman"/>
          <w:szCs w:val="24"/>
        </w:rPr>
        <w:t>real-time translation</w:t>
      </w:r>
      <w:r w:rsidRPr="00885A57">
        <w:rPr>
          <w:rFonts w:ascii="Times New Roman" w:eastAsia="標楷體" w:hAnsi="Times New Roman" w:cs="Times New Roman"/>
          <w:szCs w:val="24"/>
        </w:rPr>
        <w:t xml:space="preserve"> were added to the </w:t>
      </w:r>
      <w:r w:rsidRPr="002153DE">
        <w:rPr>
          <w:rFonts w:ascii="Times New Roman" w:eastAsia="標楷體" w:hAnsi="Times New Roman" w:cs="Times New Roman"/>
          <w:szCs w:val="24"/>
        </w:rPr>
        <w:t>Guide for Accessible Meetings and Events for Person</w:t>
      </w:r>
      <w:r w:rsidR="003445C4" w:rsidRPr="002153DE">
        <w:rPr>
          <w:rFonts w:ascii="Times New Roman" w:eastAsia="標楷體" w:hAnsi="Times New Roman" w:cs="Times New Roman"/>
          <w:szCs w:val="24"/>
        </w:rPr>
        <w:t>s</w:t>
      </w:r>
      <w:r w:rsidRPr="002153DE">
        <w:rPr>
          <w:rFonts w:ascii="Times New Roman" w:eastAsia="標楷體" w:hAnsi="Times New Roman" w:cs="Times New Roman"/>
          <w:szCs w:val="24"/>
        </w:rPr>
        <w:t xml:space="preserve"> with Disabilities,</w:t>
      </w:r>
      <w:r w:rsidRPr="00885A57">
        <w:rPr>
          <w:rFonts w:ascii="Times New Roman" w:eastAsia="標楷體" w:hAnsi="Times New Roman" w:cs="Times New Roman"/>
          <w:szCs w:val="24"/>
        </w:rPr>
        <w:t xml:space="preserve"> which is a tool for local governments,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and their representative organizations to refer to during promotional activities.</w:t>
      </w:r>
    </w:p>
    <w:p w14:paraId="5E0D43FA" w14:textId="71703B48" w:rsidR="00381D01" w:rsidRPr="00885A57" w:rsidRDefault="00CF5A36"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In 2017, the NCC released the </w:t>
      </w:r>
      <w:r w:rsidRPr="002153DE">
        <w:rPr>
          <w:rFonts w:ascii="Times New Roman" w:eastAsia="標楷體" w:hAnsi="Times New Roman" w:cs="Times New Roman"/>
          <w:iCs/>
          <w:szCs w:val="24"/>
        </w:rPr>
        <w:t>Web Accessibility Guidelines 2.0</w:t>
      </w:r>
      <w:r w:rsidRPr="00885A57">
        <w:rPr>
          <w:rFonts w:ascii="Times New Roman" w:eastAsia="標楷體" w:hAnsi="Times New Roman" w:cs="Times New Roman"/>
          <w:szCs w:val="24"/>
        </w:rPr>
        <w:t xml:space="preserve"> and amended the </w:t>
      </w:r>
      <w:r w:rsidRPr="002153DE">
        <w:rPr>
          <w:rFonts w:ascii="Times New Roman" w:eastAsia="標楷體" w:hAnsi="Times New Roman" w:cs="Times New Roman"/>
          <w:iCs/>
          <w:szCs w:val="24"/>
        </w:rPr>
        <w:t xml:space="preserve">Regulations for Issuing Web Accessibility Accreditation </w:t>
      </w:r>
      <w:r w:rsidR="002D0CA0" w:rsidRPr="002153DE">
        <w:rPr>
          <w:rFonts w:ascii="Times New Roman" w:eastAsia="標楷體" w:hAnsi="Times New Roman" w:cs="Times New Roman"/>
          <w:iCs/>
          <w:szCs w:val="24"/>
        </w:rPr>
        <w:t>B</w:t>
      </w:r>
      <w:r w:rsidRPr="002153DE">
        <w:rPr>
          <w:rFonts w:ascii="Times New Roman" w:eastAsia="標楷體" w:hAnsi="Times New Roman" w:cs="Times New Roman"/>
          <w:iCs/>
          <w:szCs w:val="24"/>
        </w:rPr>
        <w:t>adges for Websites of Government Agencies and Schools</w:t>
      </w:r>
      <w:r w:rsidR="002D0CA0" w:rsidRPr="002153DE">
        <w:rPr>
          <w:rFonts w:ascii="Times New Roman" w:eastAsia="標楷體" w:hAnsi="Times New Roman" w:cs="Times New Roman"/>
          <w:iCs/>
          <w:szCs w:val="24"/>
        </w:rPr>
        <w:t xml:space="preserve"> </w:t>
      </w:r>
      <w:r w:rsidR="006F6360">
        <w:rPr>
          <w:rFonts w:ascii="Times New Roman" w:eastAsia="標楷體" w:hAnsi="Times New Roman" w:cs="Times New Roman"/>
          <w:iCs/>
          <w:szCs w:val="24"/>
        </w:rPr>
        <w:t xml:space="preserve">at </w:t>
      </w:r>
      <w:r w:rsidR="002D0CA0" w:rsidRPr="002153DE">
        <w:rPr>
          <w:rFonts w:ascii="Times New Roman" w:eastAsia="標楷體" w:hAnsi="Times New Roman" w:cs="Times New Roman"/>
          <w:iCs/>
          <w:szCs w:val="24"/>
        </w:rPr>
        <w:t>All Levels</w:t>
      </w:r>
      <w:r w:rsidRPr="00885A57">
        <w:rPr>
          <w:rFonts w:ascii="Times New Roman" w:eastAsia="標楷體" w:hAnsi="Times New Roman" w:cs="Times New Roman"/>
          <w:szCs w:val="24"/>
        </w:rPr>
        <w:t xml:space="preserve"> to provide a reference for developers of mobile </w:t>
      </w:r>
      <w:r w:rsidR="006F6360">
        <w:rPr>
          <w:rFonts w:ascii="Times New Roman" w:eastAsia="標楷體" w:hAnsi="Times New Roman" w:cs="Times New Roman"/>
          <w:szCs w:val="24"/>
        </w:rPr>
        <w:t xml:space="preserve">software </w:t>
      </w:r>
      <w:r w:rsidR="00310C4E">
        <w:rPr>
          <w:rFonts w:ascii="Times New Roman" w:eastAsia="標楷體" w:hAnsi="Times New Roman" w:cs="Times New Roman"/>
          <w:szCs w:val="24"/>
        </w:rPr>
        <w:t>(hereinafter</w:t>
      </w:r>
      <w:r w:rsidR="006F6360">
        <w:rPr>
          <w:rFonts w:ascii="Times New Roman" w:eastAsia="標楷體" w:hAnsi="Times New Roman" w:cs="Times New Roman"/>
          <w:szCs w:val="24"/>
        </w:rPr>
        <w:t>,</w:t>
      </w:r>
      <w:r w:rsidR="000D24EA">
        <w:rPr>
          <w:rFonts w:ascii="Times New Roman" w:eastAsia="標楷體" w:hAnsi="Times New Roman" w:cs="Times New Roman"/>
          <w:szCs w:val="24"/>
        </w:rPr>
        <w:t xml:space="preserve"> “</w:t>
      </w:r>
      <w:r w:rsidR="006F6360">
        <w:rPr>
          <w:rFonts w:ascii="Times New Roman" w:eastAsia="標楷體" w:hAnsi="Times New Roman" w:cs="Times New Roman"/>
          <w:szCs w:val="24"/>
        </w:rPr>
        <w:t>apps</w:t>
      </w:r>
      <w:r w:rsidR="009A3342">
        <w:rPr>
          <w:rFonts w:ascii="Times New Roman" w:eastAsia="標楷體" w:hAnsi="Times New Roman" w:cs="Times New Roman"/>
          <w:szCs w:val="24"/>
        </w:rPr>
        <w:t>”</w:t>
      </w:r>
      <w:r w:rsidRPr="00885A57">
        <w:rPr>
          <w:rFonts w:ascii="Times New Roman" w:eastAsia="標楷體" w:hAnsi="Times New Roman" w:cs="Times New Roman"/>
          <w:szCs w:val="24"/>
        </w:rPr>
        <w:t xml:space="preserve">); the NCC also promulgated the </w:t>
      </w:r>
      <w:r w:rsidRPr="002153DE">
        <w:rPr>
          <w:rFonts w:ascii="Times New Roman" w:eastAsia="標楷體" w:hAnsi="Times New Roman" w:cs="Times New Roman"/>
          <w:iCs/>
          <w:szCs w:val="24"/>
        </w:rPr>
        <w:t>Development Guidelines on Mobile Application Accessibility</w:t>
      </w:r>
      <w:r w:rsidRPr="00885A57">
        <w:rPr>
          <w:rFonts w:ascii="Times New Roman" w:eastAsia="標楷體" w:hAnsi="Times New Roman" w:cs="Times New Roman"/>
          <w:szCs w:val="24"/>
        </w:rPr>
        <w:t xml:space="preserve"> and is now drafting the </w:t>
      </w:r>
      <w:r w:rsidRPr="002153DE">
        <w:rPr>
          <w:rFonts w:ascii="Times New Roman" w:eastAsia="標楷體" w:hAnsi="Times New Roman" w:cs="Times New Roman"/>
          <w:iCs/>
          <w:szCs w:val="24"/>
        </w:rPr>
        <w:t>Web Accessibility Guidelines 2.1</w:t>
      </w:r>
      <w:r w:rsidRPr="00885A57">
        <w:rPr>
          <w:rFonts w:ascii="Times New Roman" w:eastAsia="標楷體" w:hAnsi="Times New Roman" w:cs="Times New Roman"/>
          <w:szCs w:val="24"/>
        </w:rPr>
        <w:t xml:space="preserve">, to which regulations on the use of mobile devices as well as detailed regulations related to amblyopia and cognitive </w:t>
      </w:r>
      <w:r w:rsidRPr="00885A57">
        <w:rPr>
          <w:rFonts w:ascii="Times New Roman" w:eastAsia="標楷體" w:hAnsi="Times New Roman" w:cs="Times New Roman"/>
          <w:szCs w:val="24"/>
        </w:rPr>
        <w:lastRenderedPageBreak/>
        <w:t>impairment have been added.</w:t>
      </w:r>
    </w:p>
    <w:p w14:paraId="13E3136F" w14:textId="799F2919" w:rsidR="00DE760E" w:rsidRPr="00885A57" w:rsidRDefault="00CF5A36"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71" w:name="_Ref47423647"/>
      <w:r w:rsidRPr="00885A57">
        <w:rPr>
          <w:rFonts w:ascii="Times New Roman" w:eastAsia="標楷體" w:hAnsi="Times New Roman" w:cs="Times New Roman"/>
          <w:szCs w:val="24"/>
        </w:rPr>
        <w:t xml:space="preserve">When delivering an emergency alert to people with disabilities, the alert must produce a unique warning sound with vibration for rapid recognition when transmitted to the cellphone or terminal device of such a person. This function has been listed as a necessary item in product testing; a cellphone or terminal device must satisfy this requirement to be launched into the market. As of September 2020, type approval </w:t>
      </w:r>
      <w:r w:rsidR="001C09C5">
        <w:rPr>
          <w:rFonts w:ascii="Times New Roman" w:eastAsia="標楷體" w:hAnsi="Times New Roman" w:cs="Times New Roman"/>
          <w:szCs w:val="24"/>
        </w:rPr>
        <w:t xml:space="preserve">concerning the </w:t>
      </w:r>
      <w:r w:rsidRPr="00885A57">
        <w:rPr>
          <w:rFonts w:ascii="Times New Roman" w:eastAsia="標楷體" w:hAnsi="Times New Roman" w:cs="Times New Roman"/>
          <w:szCs w:val="24"/>
        </w:rPr>
        <w:t>Public Warning System had been granted to 779 cellphone models.</w:t>
      </w:r>
      <w:bookmarkEnd w:id="71"/>
      <w:r w:rsidRPr="00885A57">
        <w:rPr>
          <w:rStyle w:val="ab"/>
          <w:rFonts w:ascii="Times New Roman" w:eastAsia="標楷體" w:hAnsi="Times New Roman" w:cs="Times New Roman"/>
        </w:rPr>
        <w:footnoteReference w:id="45"/>
      </w:r>
    </w:p>
    <w:p w14:paraId="096D3469" w14:textId="106F4C3A" w:rsidR="002D5988" w:rsidRPr="00885A57" w:rsidRDefault="0031515A" w:rsidP="001A2139">
      <w:pPr>
        <w:pStyle w:val="a7"/>
        <w:numPr>
          <w:ilvl w:val="0"/>
          <w:numId w:val="7"/>
        </w:numPr>
        <w:spacing w:after="120" w:line="360" w:lineRule="auto"/>
        <w:ind w:leftChars="0"/>
        <w:jc w:val="both"/>
        <w:rPr>
          <w:rFonts w:ascii="Times New Roman" w:eastAsia="標楷體" w:hAnsi="Times New Roman" w:cs="Times New Roman"/>
          <w:bCs/>
        </w:rPr>
      </w:pPr>
      <w:r w:rsidRPr="00885A57">
        <w:rPr>
          <w:rFonts w:ascii="Times New Roman" w:eastAsia="標楷體" w:hAnsi="Times New Roman" w:cs="Times New Roman"/>
          <w:bCs/>
          <w:szCs w:val="24"/>
        </w:rPr>
        <w:t>Financial services</w:t>
      </w:r>
    </w:p>
    <w:p w14:paraId="01A14F15" w14:textId="239C156F" w:rsidR="001816A1" w:rsidRPr="00885A57" w:rsidRDefault="006F6360"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r>
        <w:rPr>
          <w:rFonts w:ascii="Times New Roman" w:eastAsia="標楷體" w:hAnsi="Times New Roman" w:cs="Times New Roman"/>
          <w:szCs w:val="24"/>
        </w:rPr>
        <w:t>B</w:t>
      </w:r>
      <w:r w:rsidR="0031515A" w:rsidRPr="00885A57">
        <w:rPr>
          <w:rFonts w:ascii="Times New Roman" w:eastAsia="標楷體" w:hAnsi="Times New Roman" w:cs="Times New Roman"/>
          <w:szCs w:val="24"/>
        </w:rPr>
        <w:t>ank</w:t>
      </w:r>
      <w:r>
        <w:rPr>
          <w:rFonts w:ascii="Times New Roman" w:eastAsia="標楷體" w:hAnsi="Times New Roman" w:cs="Times New Roman"/>
          <w:szCs w:val="24"/>
        </w:rPr>
        <w:t>s</w:t>
      </w:r>
      <w:r w:rsidR="0031515A" w:rsidRPr="00885A57">
        <w:rPr>
          <w:rFonts w:ascii="Times New Roman" w:eastAsia="標楷體" w:hAnsi="Times New Roman" w:cs="Times New Roman"/>
          <w:szCs w:val="24"/>
        </w:rPr>
        <w:t xml:space="preserve"> </w:t>
      </w:r>
      <w:r>
        <w:rPr>
          <w:rFonts w:ascii="Times New Roman" w:eastAsia="標楷體" w:hAnsi="Times New Roman" w:cs="Times New Roman"/>
          <w:szCs w:val="24"/>
        </w:rPr>
        <w:t xml:space="preserve">are to </w:t>
      </w:r>
      <w:r w:rsidR="0031515A" w:rsidRPr="00885A57">
        <w:rPr>
          <w:rFonts w:ascii="Times New Roman" w:eastAsia="標楷體" w:hAnsi="Times New Roman" w:cs="Times New Roman"/>
          <w:szCs w:val="24"/>
        </w:rPr>
        <w:t xml:space="preserve">create an accessible space and establish accessible service counters at their business premises, prioritize financial services for </w:t>
      </w:r>
      <w:r w:rsidR="0031515A" w:rsidRPr="00885A57">
        <w:rPr>
          <w:rFonts w:ascii="Times New Roman" w:eastAsia="標楷體" w:hAnsi="Times New Roman" w:cs="Times New Roman"/>
          <w:kern w:val="0"/>
          <w:szCs w:val="24"/>
        </w:rPr>
        <w:t>people</w:t>
      </w:r>
      <w:r w:rsidR="0031515A" w:rsidRPr="00885A57">
        <w:rPr>
          <w:rFonts w:ascii="Times New Roman" w:eastAsia="標楷體" w:hAnsi="Times New Roman" w:cs="Times New Roman"/>
          <w:szCs w:val="24"/>
        </w:rPr>
        <w:t xml:space="preserve"> with disabilities, purchase automated teller machines (ATMs)</w:t>
      </w:r>
      <w:r w:rsidR="0031515A" w:rsidRPr="00885A57">
        <w:rPr>
          <w:rFonts w:ascii="Times New Roman" w:eastAsia="標楷體" w:hAnsi="Times New Roman" w:cs="Times New Roman"/>
          <w:b/>
          <w:szCs w:val="24"/>
        </w:rPr>
        <w:t xml:space="preserve"> </w:t>
      </w:r>
      <w:r>
        <w:rPr>
          <w:rFonts w:ascii="Times New Roman" w:eastAsia="標楷體" w:hAnsi="Times New Roman" w:cs="Times New Roman"/>
          <w:szCs w:val="24"/>
        </w:rPr>
        <w:t xml:space="preserve">shorter </w:t>
      </w:r>
      <w:r w:rsidR="0031515A" w:rsidRPr="00885A57">
        <w:rPr>
          <w:rFonts w:ascii="Times New Roman" w:eastAsia="標楷體" w:hAnsi="Times New Roman" w:cs="Times New Roman"/>
          <w:szCs w:val="24"/>
        </w:rPr>
        <w:t xml:space="preserve">than 120 cm, and ensure </w:t>
      </w:r>
      <w:r>
        <w:rPr>
          <w:rFonts w:ascii="Times New Roman" w:eastAsia="標楷體" w:hAnsi="Times New Roman" w:cs="Times New Roman"/>
          <w:szCs w:val="24"/>
        </w:rPr>
        <w:t xml:space="preserve">that </w:t>
      </w:r>
      <w:r w:rsidR="0031515A" w:rsidRPr="00885A57">
        <w:rPr>
          <w:rFonts w:ascii="Times New Roman" w:eastAsia="標楷體" w:hAnsi="Times New Roman" w:cs="Times New Roman"/>
          <w:szCs w:val="24"/>
        </w:rPr>
        <w:t xml:space="preserve">bank teller counters and take-a-number systems for </w:t>
      </w:r>
      <w:r w:rsidR="0031515A" w:rsidRPr="00885A57">
        <w:rPr>
          <w:rFonts w:ascii="Times New Roman" w:eastAsia="標楷體" w:hAnsi="Times New Roman" w:cs="Times New Roman"/>
          <w:kern w:val="0"/>
          <w:szCs w:val="24"/>
        </w:rPr>
        <w:t>people</w:t>
      </w:r>
      <w:r w:rsidR="0031515A" w:rsidRPr="00885A57">
        <w:rPr>
          <w:rFonts w:ascii="Times New Roman" w:eastAsia="標楷體" w:hAnsi="Times New Roman" w:cs="Times New Roman"/>
          <w:szCs w:val="24"/>
        </w:rPr>
        <w:t xml:space="preserve"> with disabilities are at a suitable height. As of 2019, a total of 28,141 ATMs were deemed to fit the needs of wheelchair users, and 1,318 </w:t>
      </w:r>
      <w:r w:rsidR="00034859">
        <w:rPr>
          <w:rFonts w:ascii="Times New Roman" w:eastAsia="標楷體" w:hAnsi="Times New Roman" w:cs="Times New Roman"/>
          <w:szCs w:val="24"/>
        </w:rPr>
        <w:t xml:space="preserve">talking </w:t>
      </w:r>
      <w:r w:rsidR="00034859" w:rsidRPr="00885A57">
        <w:rPr>
          <w:rFonts w:ascii="Times New Roman" w:eastAsia="標楷體" w:hAnsi="Times New Roman" w:cs="Times New Roman"/>
          <w:szCs w:val="24"/>
        </w:rPr>
        <w:t>ATMs</w:t>
      </w:r>
      <w:r w:rsidR="0031515A" w:rsidRPr="00885A57">
        <w:rPr>
          <w:rFonts w:ascii="Times New Roman" w:eastAsia="標楷體" w:hAnsi="Times New Roman" w:cs="Times New Roman"/>
          <w:szCs w:val="24"/>
        </w:rPr>
        <w:t xml:space="preserve"> were qualified to serve individuals with visual impairment. The Financial Supervisory Commission (hereinafter referred to as </w:t>
      </w:r>
      <w:r w:rsidR="001C09C5">
        <w:rPr>
          <w:rFonts w:ascii="Times New Roman" w:eastAsia="標楷體" w:hAnsi="Times New Roman" w:cs="Times New Roman"/>
          <w:szCs w:val="24"/>
        </w:rPr>
        <w:t xml:space="preserve">the </w:t>
      </w:r>
      <w:r w:rsidR="0031515A" w:rsidRPr="00885A57">
        <w:rPr>
          <w:rFonts w:ascii="Times New Roman" w:eastAsia="標楷體" w:hAnsi="Times New Roman" w:cs="Times New Roman"/>
          <w:szCs w:val="24"/>
        </w:rPr>
        <w:t xml:space="preserve">FSC) intends to continue encouraging and coordinating with banks to prioritize the installation of accessible ATMs to meet the needs of </w:t>
      </w:r>
      <w:r w:rsidR="0031515A" w:rsidRPr="00885A57">
        <w:rPr>
          <w:rFonts w:ascii="Times New Roman" w:eastAsia="標楷體" w:hAnsi="Times New Roman" w:cs="Times New Roman"/>
          <w:kern w:val="0"/>
          <w:szCs w:val="24"/>
        </w:rPr>
        <w:t>people</w:t>
      </w:r>
      <w:r w:rsidR="0031515A" w:rsidRPr="00885A57">
        <w:rPr>
          <w:rFonts w:ascii="Times New Roman" w:eastAsia="標楷體" w:hAnsi="Times New Roman" w:cs="Times New Roman"/>
          <w:szCs w:val="24"/>
        </w:rPr>
        <w:t xml:space="preserve"> with disabilities. </w:t>
      </w:r>
      <w:r>
        <w:rPr>
          <w:rFonts w:ascii="Times New Roman" w:eastAsia="標楷體" w:hAnsi="Times New Roman" w:cs="Times New Roman"/>
          <w:szCs w:val="24"/>
        </w:rPr>
        <w:t xml:space="preserve">A </w:t>
      </w:r>
      <w:r w:rsidR="00197A16">
        <w:rPr>
          <w:rFonts w:ascii="Times New Roman" w:eastAsia="標楷體" w:hAnsi="Times New Roman" w:cs="Times New Roman"/>
          <w:szCs w:val="24"/>
        </w:rPr>
        <w:t xml:space="preserve">list of ATM locations </w:t>
      </w:r>
      <w:r w:rsidR="0031515A" w:rsidRPr="00885A57">
        <w:rPr>
          <w:rFonts w:ascii="Times New Roman" w:eastAsia="標楷體" w:hAnsi="Times New Roman" w:cs="Times New Roman"/>
          <w:szCs w:val="24"/>
        </w:rPr>
        <w:t xml:space="preserve">can be obtained by clicking the Accessibility Service tab on the website of the Bankers Association of the Republic of China (hereinafter referred to as the BARC). Concerning </w:t>
      </w:r>
      <w:r w:rsidR="0031515A" w:rsidRPr="00885A57">
        <w:rPr>
          <w:rFonts w:ascii="Times New Roman" w:eastAsia="標楷體" w:hAnsi="Times New Roman" w:cs="Times New Roman"/>
          <w:szCs w:val="24"/>
        </w:rPr>
        <w:lastRenderedPageBreak/>
        <w:t xml:space="preserve">activation and loss reporting of credit cards, </w:t>
      </w:r>
      <w:r w:rsidR="00197A16">
        <w:rPr>
          <w:rFonts w:ascii="Times New Roman" w:eastAsia="標楷體" w:hAnsi="Times New Roman" w:cs="Times New Roman"/>
          <w:szCs w:val="24"/>
        </w:rPr>
        <w:t xml:space="preserve">every </w:t>
      </w:r>
      <w:r w:rsidR="0031515A" w:rsidRPr="00885A57">
        <w:rPr>
          <w:rFonts w:ascii="Times New Roman" w:eastAsia="標楷體" w:hAnsi="Times New Roman" w:cs="Times New Roman"/>
          <w:szCs w:val="24"/>
        </w:rPr>
        <w:t xml:space="preserve">card issuer in Taiwan has provided services for telephonic card activation and card loss reporting (a nonowner of the card may </w:t>
      </w:r>
      <w:r w:rsidR="00197A16">
        <w:rPr>
          <w:rFonts w:ascii="Times New Roman" w:eastAsia="標楷體" w:hAnsi="Times New Roman" w:cs="Times New Roman"/>
          <w:szCs w:val="24"/>
        </w:rPr>
        <w:t xml:space="preserve">also </w:t>
      </w:r>
      <w:r w:rsidR="0031515A" w:rsidRPr="00885A57">
        <w:rPr>
          <w:rFonts w:ascii="Times New Roman" w:eastAsia="標楷體" w:hAnsi="Times New Roman" w:cs="Times New Roman"/>
          <w:szCs w:val="24"/>
        </w:rPr>
        <w:t xml:space="preserve">report a loss for the card owner in question). For the convenience of </w:t>
      </w:r>
      <w:r w:rsidR="0031515A" w:rsidRPr="00885A57">
        <w:rPr>
          <w:rFonts w:ascii="Times New Roman" w:eastAsia="標楷體" w:hAnsi="Times New Roman" w:cs="Times New Roman"/>
          <w:kern w:val="0"/>
          <w:szCs w:val="24"/>
        </w:rPr>
        <w:t>people</w:t>
      </w:r>
      <w:r w:rsidR="0031515A" w:rsidRPr="00885A57">
        <w:rPr>
          <w:rFonts w:ascii="Times New Roman" w:eastAsia="標楷體" w:hAnsi="Times New Roman" w:cs="Times New Roman"/>
          <w:szCs w:val="24"/>
        </w:rPr>
        <w:t xml:space="preserve"> with hearing impairment, the FSC has requested </w:t>
      </w:r>
      <w:r w:rsidR="00197A16">
        <w:rPr>
          <w:rFonts w:ascii="Times New Roman" w:eastAsia="標楷體" w:hAnsi="Times New Roman" w:cs="Times New Roman"/>
          <w:szCs w:val="24"/>
        </w:rPr>
        <w:t xml:space="preserve">that the </w:t>
      </w:r>
      <w:r w:rsidR="0031515A" w:rsidRPr="00885A57">
        <w:rPr>
          <w:rFonts w:ascii="Times New Roman" w:eastAsia="標楷體" w:hAnsi="Times New Roman" w:cs="Times New Roman"/>
          <w:szCs w:val="24"/>
        </w:rPr>
        <w:t xml:space="preserve">BARC create an exclusive consultation channel </w:t>
      </w:r>
      <w:r w:rsidR="00F45B99" w:rsidRPr="00885A57">
        <w:rPr>
          <w:rFonts w:ascii="Times New Roman" w:eastAsia="標楷體" w:hAnsi="Times New Roman" w:cs="Times New Roman"/>
          <w:szCs w:val="24"/>
        </w:rPr>
        <w:t>and</w:t>
      </w:r>
      <w:r w:rsidR="0031515A" w:rsidRPr="00885A57">
        <w:rPr>
          <w:rFonts w:ascii="Times New Roman" w:eastAsia="標楷體" w:hAnsi="Times New Roman" w:cs="Times New Roman"/>
          <w:szCs w:val="24"/>
        </w:rPr>
        <w:t xml:space="preserve"> has requested banks to provide online card activation and loss reporting services. When a </w:t>
      </w:r>
      <w:r w:rsidR="00B25026">
        <w:rPr>
          <w:rFonts w:ascii="Times New Roman" w:eastAsia="標楷體" w:hAnsi="Times New Roman" w:cs="Times New Roman"/>
          <w:szCs w:val="24"/>
        </w:rPr>
        <w:t>person</w:t>
      </w:r>
      <w:r w:rsidR="0031515A" w:rsidRPr="00885A57">
        <w:rPr>
          <w:rFonts w:ascii="Times New Roman" w:eastAsia="標楷體" w:hAnsi="Times New Roman" w:cs="Times New Roman"/>
          <w:szCs w:val="24"/>
        </w:rPr>
        <w:t xml:space="preserve"> with </w:t>
      </w:r>
      <w:r w:rsidR="00197A16">
        <w:rPr>
          <w:rFonts w:ascii="Times New Roman" w:eastAsia="標楷體" w:hAnsi="Times New Roman" w:cs="Times New Roman"/>
          <w:szCs w:val="24"/>
        </w:rPr>
        <w:t xml:space="preserve">a </w:t>
      </w:r>
      <w:r w:rsidR="0031515A" w:rsidRPr="00885A57">
        <w:rPr>
          <w:rFonts w:ascii="Times New Roman" w:eastAsia="標楷體" w:hAnsi="Times New Roman" w:cs="Times New Roman"/>
          <w:szCs w:val="24"/>
        </w:rPr>
        <w:t>visua</w:t>
      </w:r>
      <w:r w:rsidR="00B25026">
        <w:rPr>
          <w:rFonts w:ascii="Times New Roman" w:eastAsia="標楷體" w:hAnsi="Times New Roman" w:cs="Times New Roman"/>
          <w:szCs w:val="24"/>
        </w:rPr>
        <w:t>l impairment independently open</w:t>
      </w:r>
      <w:r w:rsidR="00197A16">
        <w:rPr>
          <w:rFonts w:ascii="Times New Roman" w:eastAsia="標楷體" w:hAnsi="Times New Roman" w:cs="Times New Roman"/>
          <w:szCs w:val="24"/>
        </w:rPr>
        <w:t>s</w:t>
      </w:r>
      <w:r w:rsidR="0031515A" w:rsidRPr="00885A57">
        <w:rPr>
          <w:rFonts w:ascii="Times New Roman" w:eastAsia="標楷體" w:hAnsi="Times New Roman" w:cs="Times New Roman"/>
          <w:szCs w:val="24"/>
        </w:rPr>
        <w:t xml:space="preserve"> a bank account in person, a bank clerk who is not responsible for the account opening or a friend or relative with full legal capacity and without visual impairment may witness the process and pro</w:t>
      </w:r>
      <w:r w:rsidR="00B25026">
        <w:rPr>
          <w:rFonts w:ascii="Times New Roman" w:eastAsia="標楷體" w:hAnsi="Times New Roman" w:cs="Times New Roman"/>
          <w:szCs w:val="24"/>
        </w:rPr>
        <w:t>vide assistance for the person with visual impairment</w:t>
      </w:r>
      <w:r w:rsidR="0031515A" w:rsidRPr="00885A57">
        <w:rPr>
          <w:rFonts w:ascii="Times New Roman" w:eastAsia="標楷體" w:hAnsi="Times New Roman" w:cs="Times New Roman"/>
          <w:szCs w:val="24"/>
        </w:rPr>
        <w:t>.</w:t>
      </w:r>
    </w:p>
    <w:p w14:paraId="17BB33BD" w14:textId="5C988272" w:rsidR="001816A1" w:rsidRPr="00885A57" w:rsidRDefault="0031515A" w:rsidP="00521587">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72" w:name="_Ref55907974"/>
      <w:r w:rsidRPr="00885A57">
        <w:rPr>
          <w:rFonts w:ascii="Times New Roman" w:eastAsia="標楷體" w:hAnsi="Times New Roman" w:cs="Times New Roman"/>
          <w:szCs w:val="24"/>
        </w:rPr>
        <w:t xml:space="preserve">The FSC has promulgated the </w:t>
      </w:r>
      <w:r w:rsidRPr="002153DE">
        <w:rPr>
          <w:rFonts w:ascii="Times New Roman" w:eastAsia="標楷體" w:hAnsi="Times New Roman" w:cs="Times New Roman"/>
          <w:iCs/>
          <w:szCs w:val="24"/>
        </w:rPr>
        <w:t xml:space="preserve">Friendly Finance Service Guidelines and </w:t>
      </w:r>
      <w:r w:rsidR="00CC0997">
        <w:rPr>
          <w:rFonts w:ascii="Times New Roman" w:eastAsia="標楷體" w:hAnsi="Times New Roman" w:cs="Times New Roman"/>
          <w:iCs/>
          <w:szCs w:val="24"/>
        </w:rPr>
        <w:t xml:space="preserve">the </w:t>
      </w:r>
      <w:r w:rsidRPr="002153DE">
        <w:rPr>
          <w:rFonts w:ascii="Times New Roman" w:eastAsia="標楷體" w:hAnsi="Times New Roman" w:cs="Times New Roman"/>
          <w:iCs/>
          <w:szCs w:val="24"/>
        </w:rPr>
        <w:t>Q&amp;A for the Practice of Friendly Financial Service</w:t>
      </w:r>
      <w:r w:rsidR="00CC0997">
        <w:rPr>
          <w:rFonts w:ascii="Times New Roman" w:eastAsia="標楷體" w:hAnsi="Times New Roman" w:cs="Times New Roman"/>
          <w:iCs/>
          <w:szCs w:val="24"/>
        </w:rPr>
        <w:t>s</w:t>
      </w:r>
      <w:r w:rsidRPr="00885A57">
        <w:rPr>
          <w:rFonts w:ascii="Times New Roman" w:eastAsia="標楷體" w:hAnsi="Times New Roman" w:cs="Times New Roman"/>
          <w:szCs w:val="24"/>
        </w:rPr>
        <w:t xml:space="preserve"> to instruct financial institutions in providing suitable and friendly services that meet the individual needs of people with disabilities, including the provision of an accessible environment, services, communications, products, and information, and to exhort them to refrain from any discriminatory behavior. The FSC engages with people with disabilities and their representative organizations and reviews all matters covered in the </w:t>
      </w:r>
      <w:r w:rsidRPr="002153DE">
        <w:rPr>
          <w:rFonts w:ascii="Times New Roman" w:eastAsia="標楷體" w:hAnsi="Times New Roman" w:cs="Times New Roman"/>
          <w:iCs/>
          <w:szCs w:val="24"/>
        </w:rPr>
        <w:t>Friendly Finance Service Guidelines</w:t>
      </w:r>
      <w:r w:rsidRPr="00885A57">
        <w:rPr>
          <w:rFonts w:ascii="Times New Roman" w:eastAsia="標楷體" w:hAnsi="Times New Roman" w:cs="Times New Roman"/>
          <w:szCs w:val="24"/>
        </w:rPr>
        <w:t xml:space="preserve">; moreover, they request financial institutions to provide suitable consultation services in relation to the financial product or service requirement in question as well as user-friendly measures to meet </w:t>
      </w:r>
      <w:r w:rsidR="00556EC1">
        <w:rPr>
          <w:rFonts w:ascii="Times New Roman" w:eastAsia="標楷體" w:hAnsi="Times New Roman" w:cs="Times New Roman"/>
          <w:szCs w:val="24"/>
        </w:rPr>
        <w:t xml:space="preserve">the needs </w:t>
      </w:r>
      <w:r w:rsidRPr="00885A57">
        <w:rPr>
          <w:rFonts w:ascii="Times New Roman" w:eastAsia="標楷體" w:hAnsi="Times New Roman" w:cs="Times New Roman"/>
          <w:szCs w:val="24"/>
        </w:rPr>
        <w:t>of people with disabilities, such as online bookings and in-home service.</w:t>
      </w:r>
      <w:bookmarkEnd w:id="72"/>
      <w:r w:rsidRPr="00885A57">
        <w:rPr>
          <w:rFonts w:ascii="Times New Roman" w:eastAsia="標楷體" w:hAnsi="Times New Roman" w:cs="Times New Roman"/>
          <w:vertAlign w:val="superscript"/>
        </w:rPr>
        <w:footnoteReference w:id="46"/>
      </w:r>
    </w:p>
    <w:p w14:paraId="740AB31D" w14:textId="5AC7BA42" w:rsidR="005477FD" w:rsidRPr="00885A57" w:rsidRDefault="0031515A"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lastRenderedPageBreak/>
        <w:t xml:space="preserve">In 2019, the FSC requested </w:t>
      </w:r>
      <w:r w:rsidR="00556EC1">
        <w:rPr>
          <w:rFonts w:ascii="Times New Roman" w:eastAsia="標楷體" w:hAnsi="Times New Roman" w:cs="Times New Roman"/>
          <w:szCs w:val="24"/>
        </w:rPr>
        <w:t xml:space="preserve">that </w:t>
      </w:r>
      <w:r w:rsidRPr="00885A57">
        <w:rPr>
          <w:rFonts w:ascii="Times New Roman" w:eastAsia="標楷體" w:hAnsi="Times New Roman" w:cs="Times New Roman"/>
          <w:szCs w:val="24"/>
        </w:rPr>
        <w:t xml:space="preserve">the BARC, Taiwan Securities Association, Securities Investment Trust and Consulting Association of the Republic of China, Chinese National Futures Association, </w:t>
      </w:r>
      <w:r w:rsidR="00625231" w:rsidRPr="00625231">
        <w:rPr>
          <w:rFonts w:ascii="Times New Roman" w:eastAsia="標楷體" w:hAnsi="Times New Roman" w:cs="Times New Roman"/>
          <w:szCs w:val="24"/>
        </w:rPr>
        <w:t>the Non-Life Insurance Association of the Republic of China</w:t>
      </w:r>
      <w:r w:rsidR="00556EC1">
        <w:rPr>
          <w:rFonts w:ascii="Times New Roman" w:eastAsia="標楷體" w:hAnsi="Times New Roman" w:cs="Times New Roman"/>
          <w:szCs w:val="24"/>
        </w:rPr>
        <w:t>,</w:t>
      </w:r>
      <w:r w:rsidR="00625231" w:rsidRPr="00625231">
        <w:rPr>
          <w:rFonts w:ascii="Times New Roman" w:eastAsia="標楷體" w:hAnsi="Times New Roman" w:cs="Times New Roman"/>
          <w:szCs w:val="24"/>
        </w:rPr>
        <w:t xml:space="preserve"> and the</w:t>
      </w:r>
      <w:r w:rsidR="00625231">
        <w:rPr>
          <w:rFonts w:ascii="Times New Roman" w:eastAsia="標楷體" w:hAnsi="Times New Roman" w:cs="Times New Roman"/>
          <w:szCs w:val="24"/>
        </w:rPr>
        <w:t xml:space="preserve"> </w:t>
      </w:r>
      <w:r w:rsidR="00625231" w:rsidRPr="00625231">
        <w:rPr>
          <w:rFonts w:ascii="Times New Roman" w:eastAsia="標楷體" w:hAnsi="Times New Roman" w:cs="Times New Roman"/>
          <w:szCs w:val="24"/>
        </w:rPr>
        <w:t>Life Insurance Association</w:t>
      </w:r>
      <w:r w:rsidRPr="00885A57">
        <w:rPr>
          <w:rFonts w:ascii="Times New Roman" w:eastAsia="標楷體" w:hAnsi="Times New Roman" w:cs="Times New Roman"/>
          <w:szCs w:val="24"/>
        </w:rPr>
        <w:t xml:space="preserve"> of the Republic of China to notify their members that newly recruited employees </w:t>
      </w:r>
      <w:r w:rsidR="00556EC1">
        <w:rPr>
          <w:rFonts w:ascii="Times New Roman" w:eastAsia="標楷體" w:hAnsi="Times New Roman" w:cs="Times New Roman"/>
          <w:szCs w:val="24"/>
        </w:rPr>
        <w:t xml:space="preserve">should </w:t>
      </w:r>
      <w:r w:rsidRPr="00885A57">
        <w:rPr>
          <w:rFonts w:ascii="Times New Roman" w:eastAsia="標楷體" w:hAnsi="Times New Roman" w:cs="Times New Roman"/>
          <w:szCs w:val="24"/>
        </w:rPr>
        <w:t xml:space="preserve">receive education and training on providing friendly financial services </w:t>
      </w:r>
      <w:r w:rsidR="00556EC1">
        <w:rPr>
          <w:rFonts w:ascii="Times New Roman" w:eastAsia="標楷體" w:hAnsi="Times New Roman" w:cs="Times New Roman"/>
          <w:szCs w:val="24"/>
        </w:rPr>
        <w:t xml:space="preserve">to </w:t>
      </w:r>
      <w:r w:rsidRPr="00885A57">
        <w:rPr>
          <w:rFonts w:ascii="Times New Roman" w:eastAsia="標楷體" w:hAnsi="Times New Roman" w:cs="Times New Roman"/>
          <w:szCs w:val="24"/>
        </w:rPr>
        <w:t>people with disabilities</w:t>
      </w:r>
      <w:r w:rsidR="00CC0997">
        <w:rPr>
          <w:rFonts w:ascii="Times New Roman" w:eastAsia="標楷體" w:hAnsi="Times New Roman" w:cs="Times New Roman"/>
          <w:szCs w:val="24"/>
        </w:rPr>
        <w:t>.</w:t>
      </w:r>
      <w:r w:rsidRPr="00885A57">
        <w:rPr>
          <w:rFonts w:ascii="Times New Roman" w:eastAsia="標楷體" w:hAnsi="Times New Roman" w:cs="Times New Roman"/>
          <w:szCs w:val="24"/>
        </w:rPr>
        <w:t xml:space="preserve"> </w:t>
      </w:r>
      <w:r w:rsidR="00CC0997">
        <w:rPr>
          <w:rFonts w:ascii="Times New Roman" w:eastAsia="標楷體" w:hAnsi="Times New Roman" w:cs="Times New Roman"/>
          <w:szCs w:val="24"/>
        </w:rPr>
        <w:t>T</w:t>
      </w:r>
      <w:r w:rsidR="00CC0997" w:rsidRPr="00885A57">
        <w:rPr>
          <w:rFonts w:ascii="Times New Roman" w:eastAsia="標楷體" w:hAnsi="Times New Roman" w:cs="Times New Roman"/>
          <w:szCs w:val="24"/>
        </w:rPr>
        <w:t xml:space="preserve">he </w:t>
      </w:r>
      <w:r w:rsidRPr="00885A57">
        <w:rPr>
          <w:rFonts w:ascii="Times New Roman" w:eastAsia="標楷體" w:hAnsi="Times New Roman" w:cs="Times New Roman"/>
          <w:szCs w:val="24"/>
        </w:rPr>
        <w:t xml:space="preserve">number of attendees </w:t>
      </w:r>
      <w:r w:rsidR="00556EC1">
        <w:rPr>
          <w:rFonts w:ascii="Times New Roman" w:eastAsia="標楷體" w:hAnsi="Times New Roman" w:cs="Times New Roman"/>
          <w:szCs w:val="24"/>
        </w:rPr>
        <w:t xml:space="preserve">at related programs over </w:t>
      </w:r>
      <w:r w:rsidRPr="00885A57">
        <w:rPr>
          <w:rFonts w:ascii="Times New Roman" w:eastAsia="標楷體" w:hAnsi="Times New Roman" w:cs="Times New Roman"/>
          <w:szCs w:val="24"/>
        </w:rPr>
        <w:t>the past two years is listed in Table 9.15.</w:t>
      </w:r>
    </w:p>
    <w:p w14:paraId="031340B1" w14:textId="0665904A" w:rsidR="00DF248E" w:rsidRPr="00885A57" w:rsidRDefault="0031515A"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provide basic financial services </w:t>
      </w:r>
      <w:r w:rsidR="00556EC1">
        <w:rPr>
          <w:rFonts w:ascii="Times New Roman" w:eastAsia="標楷體" w:hAnsi="Times New Roman" w:cs="Times New Roman"/>
          <w:szCs w:val="24"/>
        </w:rPr>
        <w:t xml:space="preserve">to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the FSC has </w:t>
      </w:r>
      <w:r w:rsidR="00556EC1">
        <w:rPr>
          <w:rFonts w:ascii="Times New Roman" w:eastAsia="標楷體" w:hAnsi="Times New Roman" w:cs="Times New Roman"/>
          <w:szCs w:val="24"/>
        </w:rPr>
        <w:t xml:space="preserve">required </w:t>
      </w:r>
      <w:r w:rsidRPr="00885A57">
        <w:rPr>
          <w:rFonts w:ascii="Times New Roman" w:eastAsia="標楷體" w:hAnsi="Times New Roman" w:cs="Times New Roman"/>
          <w:szCs w:val="24"/>
        </w:rPr>
        <w:t>that banks add functions for designated and non</w:t>
      </w:r>
      <w:r w:rsidR="00F45B99">
        <w:rPr>
          <w:rFonts w:ascii="Times New Roman" w:eastAsia="標楷體" w:hAnsi="Times New Roman" w:cs="Times New Roman"/>
          <w:szCs w:val="24"/>
        </w:rPr>
        <w:t>-</w:t>
      </w:r>
      <w:r w:rsidRPr="00885A57">
        <w:rPr>
          <w:rFonts w:ascii="Times New Roman" w:eastAsia="標楷體" w:hAnsi="Times New Roman" w:cs="Times New Roman"/>
          <w:szCs w:val="24"/>
        </w:rPr>
        <w:t>designated account transfer</w:t>
      </w:r>
      <w:r w:rsidR="00556EC1">
        <w:rPr>
          <w:rFonts w:ascii="Times New Roman" w:eastAsia="標楷體" w:hAnsi="Times New Roman" w:cs="Times New Roman"/>
          <w:szCs w:val="24"/>
        </w:rPr>
        <w:t>s</w:t>
      </w:r>
      <w:r w:rsidRPr="00885A57">
        <w:rPr>
          <w:rFonts w:ascii="Times New Roman" w:eastAsia="標楷體" w:hAnsi="Times New Roman" w:cs="Times New Roman"/>
          <w:szCs w:val="24"/>
        </w:rPr>
        <w:t xml:space="preserve"> to their accessible online banking websites and </w:t>
      </w:r>
      <w:r w:rsidR="00556EC1">
        <w:rPr>
          <w:rFonts w:ascii="Times New Roman" w:eastAsia="標楷體" w:hAnsi="Times New Roman" w:cs="Times New Roman"/>
          <w:szCs w:val="24"/>
        </w:rPr>
        <w:t>apps</w:t>
      </w:r>
      <w:r w:rsidRPr="00885A57">
        <w:rPr>
          <w:rFonts w:ascii="Times New Roman" w:eastAsia="標楷體" w:hAnsi="Times New Roman" w:cs="Times New Roman"/>
          <w:szCs w:val="24"/>
        </w:rPr>
        <w:t xml:space="preserve">. In the future, the FSC will continue encouraging banks to expand friendly financial services </w:t>
      </w:r>
      <w:r w:rsidR="00556EC1">
        <w:rPr>
          <w:rFonts w:ascii="Times New Roman" w:eastAsia="標楷體" w:hAnsi="Times New Roman" w:cs="Times New Roman"/>
          <w:szCs w:val="24"/>
        </w:rPr>
        <w:t xml:space="preserve">to meet </w:t>
      </w:r>
      <w:r w:rsidRPr="00885A57">
        <w:rPr>
          <w:rFonts w:ascii="Times New Roman" w:eastAsia="標楷體" w:hAnsi="Times New Roman" w:cs="Times New Roman"/>
          <w:szCs w:val="24"/>
        </w:rPr>
        <w:t xml:space="preserve">the needs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w:t>
      </w:r>
      <w:r w:rsidR="00BF7DB0" w:rsidRPr="00885A57">
        <w:rPr>
          <w:rFonts w:ascii="Times New Roman" w:eastAsia="標楷體" w:hAnsi="Times New Roman" w:cs="Times New Roman"/>
          <w:szCs w:val="24"/>
        </w:rPr>
        <w:t>.</w:t>
      </w:r>
    </w:p>
    <w:p w14:paraId="062CD043" w14:textId="21C4F120" w:rsidR="005976B4" w:rsidRPr="00885A57" w:rsidRDefault="00106070" w:rsidP="00BF7DB0">
      <w:pPr>
        <w:pStyle w:val="10"/>
        <w:spacing w:after="120" w:line="360" w:lineRule="auto"/>
        <w:rPr>
          <w:rFonts w:ascii="Times New Roman" w:hAnsi="Times New Roman"/>
        </w:rPr>
      </w:pPr>
      <w:bookmarkStart w:id="73" w:name="_Toc73108679"/>
      <w:r w:rsidRPr="00885A57">
        <w:rPr>
          <w:rFonts w:ascii="Times New Roman" w:hAnsi="Times New Roman"/>
        </w:rPr>
        <w:t>Article 10</w:t>
      </w:r>
      <w:bookmarkStart w:id="74" w:name="_Toc55900576"/>
      <w:r w:rsidR="00B645D5" w:rsidRPr="00885A57">
        <w:rPr>
          <w:rFonts w:ascii="Times New Roman" w:hAnsi="Times New Roman"/>
        </w:rPr>
        <w:t xml:space="preserve">: </w:t>
      </w:r>
      <w:r w:rsidRPr="00885A57">
        <w:rPr>
          <w:rFonts w:ascii="Times New Roman" w:hAnsi="Times New Roman"/>
          <w:bCs/>
        </w:rPr>
        <w:t>Right to life</w:t>
      </w:r>
      <w:bookmarkEnd w:id="73"/>
      <w:bookmarkEnd w:id="74"/>
    </w:p>
    <w:p w14:paraId="6EACBA15" w14:textId="33536A8F" w:rsidR="00F46C76" w:rsidRPr="00885A57" w:rsidRDefault="0031515A" w:rsidP="00BF7DB0">
      <w:pPr>
        <w:pStyle w:val="a7"/>
        <w:numPr>
          <w:ilvl w:val="0"/>
          <w:numId w:val="45"/>
        </w:numPr>
        <w:spacing w:after="120" w:line="360" w:lineRule="auto"/>
        <w:ind w:leftChars="0" w:left="567" w:hanging="567"/>
        <w:jc w:val="both"/>
        <w:rPr>
          <w:rFonts w:ascii="Times New Roman" w:eastAsia="標楷體" w:hAnsi="Times New Roman" w:cs="Times New Roman"/>
          <w:bCs/>
          <w:szCs w:val="32"/>
        </w:rPr>
      </w:pPr>
      <w:bookmarkStart w:id="75" w:name="_Ref55908796"/>
      <w:r w:rsidRPr="00885A57">
        <w:rPr>
          <w:rFonts w:ascii="Times New Roman" w:eastAsia="標楷體" w:hAnsi="Times New Roman" w:cs="Times New Roman"/>
          <w:bCs/>
          <w:szCs w:val="32"/>
        </w:rPr>
        <w:t xml:space="preserve">Because the </w:t>
      </w:r>
      <w:r w:rsidR="00077C6C">
        <w:rPr>
          <w:rFonts w:ascii="Times New Roman" w:eastAsia="標楷體" w:hAnsi="Times New Roman" w:cs="Times New Roman"/>
          <w:bCs/>
          <w:szCs w:val="32"/>
        </w:rPr>
        <w:t xml:space="preserve">execution of the </w:t>
      </w:r>
      <w:r w:rsidRPr="00885A57">
        <w:rPr>
          <w:rFonts w:ascii="Times New Roman" w:eastAsia="標楷體" w:hAnsi="Times New Roman" w:cs="Times New Roman"/>
          <w:bCs/>
          <w:szCs w:val="32"/>
        </w:rPr>
        <w:t xml:space="preserve">death penalty is irreversible, the MOJ exercises utmost caution in reviewing death penalty cases and the implementation of the capital punishment. Only when every remedy </w:t>
      </w:r>
      <w:r w:rsidR="00077C6C">
        <w:rPr>
          <w:rFonts w:ascii="Times New Roman" w:eastAsia="標楷體" w:hAnsi="Times New Roman" w:cs="Times New Roman"/>
          <w:bCs/>
          <w:szCs w:val="32"/>
        </w:rPr>
        <w:t xml:space="preserve">procedure </w:t>
      </w:r>
      <w:r w:rsidRPr="00885A57">
        <w:rPr>
          <w:rFonts w:ascii="Times New Roman" w:eastAsia="標楷體" w:hAnsi="Times New Roman" w:cs="Times New Roman"/>
          <w:bCs/>
          <w:szCs w:val="32"/>
        </w:rPr>
        <w:t xml:space="preserve">has been exhausted does the MOJ approve the performance of an execution. After obtaining the complete case files and evidence in a death penalty case </w:t>
      </w:r>
      <w:r w:rsidR="00077C6C">
        <w:rPr>
          <w:rFonts w:ascii="Times New Roman" w:eastAsia="標楷體" w:hAnsi="Times New Roman" w:cs="Times New Roman"/>
          <w:bCs/>
          <w:szCs w:val="32"/>
        </w:rPr>
        <w:t xml:space="preserve">as per a </w:t>
      </w:r>
      <w:r w:rsidRPr="00885A57">
        <w:rPr>
          <w:rFonts w:ascii="Times New Roman" w:eastAsia="標楷體" w:hAnsi="Times New Roman" w:cs="Times New Roman"/>
          <w:bCs/>
          <w:szCs w:val="32"/>
        </w:rPr>
        <w:t xml:space="preserve">Supreme Prosecutors Office order, the MOJ appoints a counselor to comprehensively review all files related to the case, so as to ensure that the Supreme Prosecutors Office has complied with </w:t>
      </w:r>
      <w:r w:rsidR="00077C6C">
        <w:rPr>
          <w:rFonts w:ascii="Times New Roman" w:eastAsia="標楷體" w:hAnsi="Times New Roman" w:cs="Times New Roman"/>
          <w:bCs/>
          <w:szCs w:val="32"/>
        </w:rPr>
        <w:t xml:space="preserve">related </w:t>
      </w:r>
      <w:r w:rsidRPr="00885A57">
        <w:rPr>
          <w:rFonts w:ascii="Times New Roman" w:eastAsia="標楷體" w:hAnsi="Times New Roman" w:cs="Times New Roman"/>
          <w:bCs/>
          <w:szCs w:val="32"/>
        </w:rPr>
        <w:t>procedure</w:t>
      </w:r>
      <w:r w:rsidR="00077C6C">
        <w:rPr>
          <w:rFonts w:ascii="Times New Roman" w:eastAsia="標楷體" w:hAnsi="Times New Roman" w:cs="Times New Roman"/>
          <w:bCs/>
          <w:szCs w:val="32"/>
        </w:rPr>
        <w:t>s</w:t>
      </w:r>
      <w:r w:rsidRPr="00885A57">
        <w:rPr>
          <w:rFonts w:ascii="Times New Roman" w:eastAsia="標楷體" w:hAnsi="Times New Roman" w:cs="Times New Roman"/>
          <w:bCs/>
          <w:szCs w:val="32"/>
        </w:rPr>
        <w:t xml:space="preserve">. The procedure requires the Office to reexamine the presence of any conditions to trigger a retrial, extraordinary appeal, </w:t>
      </w:r>
      <w:r w:rsidRPr="00885A57">
        <w:rPr>
          <w:rFonts w:ascii="Times New Roman" w:eastAsia="標楷體" w:hAnsi="Times New Roman" w:cs="Times New Roman"/>
          <w:bCs/>
          <w:szCs w:val="32"/>
        </w:rPr>
        <w:lastRenderedPageBreak/>
        <w:t>or petition for constitutional interpretation (including pending petitions), as well as the mental stat</w:t>
      </w:r>
      <w:r w:rsidR="00077C6C">
        <w:rPr>
          <w:rFonts w:ascii="Times New Roman" w:eastAsia="標楷體" w:hAnsi="Times New Roman" w:cs="Times New Roman"/>
          <w:bCs/>
          <w:szCs w:val="32"/>
        </w:rPr>
        <w:t>e</w:t>
      </w:r>
      <w:r w:rsidRPr="00885A57">
        <w:rPr>
          <w:rFonts w:ascii="Times New Roman" w:eastAsia="標楷體" w:hAnsi="Times New Roman" w:cs="Times New Roman"/>
          <w:bCs/>
          <w:szCs w:val="32"/>
        </w:rPr>
        <w:t xml:space="preserve"> of the death row inmate in question. The MOJ then forms a review committee to assess whether the implementation of death penalty is appropriate. Subsequently, the MOJ, per the </w:t>
      </w:r>
      <w:r w:rsidRPr="002153DE">
        <w:rPr>
          <w:rFonts w:ascii="Times New Roman" w:eastAsia="標楷體" w:hAnsi="Times New Roman" w:cs="Times New Roman"/>
          <w:bCs/>
          <w:iCs/>
          <w:szCs w:val="32"/>
        </w:rPr>
        <w:t>Implementation Guidelines for Reviewing Death Penalty Execution</w:t>
      </w:r>
      <w:r w:rsidRPr="00885A57">
        <w:rPr>
          <w:rFonts w:ascii="Times New Roman" w:eastAsia="標楷體" w:hAnsi="Times New Roman" w:cs="Times New Roman"/>
          <w:bCs/>
          <w:szCs w:val="32"/>
        </w:rPr>
        <w:t>, queries the Judicial Yuan, Taiwan High Court, Supreme Prosecutors Office, and correctional institutions to determine whether a petition for constitutional interpretation, retrial, or extraordinary appeal is necessary or whether the inmate should be spared due to insanity, psychological disorder, or intellectual disabilit</w:t>
      </w:r>
      <w:r w:rsidR="00077C6C">
        <w:rPr>
          <w:rFonts w:ascii="Times New Roman" w:eastAsia="標楷體" w:hAnsi="Times New Roman" w:cs="Times New Roman"/>
          <w:bCs/>
          <w:szCs w:val="32"/>
        </w:rPr>
        <w:t>y</w:t>
      </w:r>
      <w:r w:rsidRPr="00885A57">
        <w:rPr>
          <w:rFonts w:ascii="Times New Roman" w:eastAsia="標楷體" w:hAnsi="Times New Roman" w:cs="Times New Roman"/>
          <w:bCs/>
          <w:szCs w:val="32"/>
        </w:rPr>
        <w:t xml:space="preserve">. Only when the MOJ confirms that no pardon is to be granted after consulting with the Office of the President does </w:t>
      </w:r>
      <w:r w:rsidR="00CC0997">
        <w:rPr>
          <w:rFonts w:ascii="Times New Roman" w:eastAsia="標楷體" w:hAnsi="Times New Roman" w:cs="Times New Roman"/>
          <w:bCs/>
          <w:szCs w:val="32"/>
        </w:rPr>
        <w:t xml:space="preserve">it </w:t>
      </w:r>
      <w:r w:rsidRPr="00885A57">
        <w:rPr>
          <w:rFonts w:ascii="Times New Roman" w:eastAsia="標楷體" w:hAnsi="Times New Roman" w:cs="Times New Roman"/>
          <w:bCs/>
          <w:szCs w:val="32"/>
        </w:rPr>
        <w:t>approve an execution. To protect the rights of death row inmates, the aforementioned process is conducted with the utmost meticulousness.</w:t>
      </w:r>
      <w:bookmarkEnd w:id="75"/>
      <w:r w:rsidRPr="00885A57">
        <w:rPr>
          <w:rStyle w:val="ab"/>
          <w:rFonts w:ascii="Times New Roman" w:eastAsia="標楷體" w:hAnsi="Times New Roman" w:cs="Times New Roman"/>
          <w:bCs/>
          <w:szCs w:val="32"/>
        </w:rPr>
        <w:footnoteReference w:id="47"/>
      </w:r>
    </w:p>
    <w:p w14:paraId="037BA8EB" w14:textId="3B8592B5" w:rsidR="00F46C76" w:rsidRPr="00885A57" w:rsidRDefault="0031515A" w:rsidP="00BF7DB0">
      <w:pPr>
        <w:pStyle w:val="a7"/>
        <w:numPr>
          <w:ilvl w:val="0"/>
          <w:numId w:val="45"/>
        </w:numPr>
        <w:spacing w:after="120" w:line="360" w:lineRule="auto"/>
        <w:ind w:leftChars="0" w:left="567" w:hanging="567"/>
        <w:jc w:val="both"/>
        <w:rPr>
          <w:rFonts w:ascii="Times New Roman" w:eastAsia="標楷體" w:hAnsi="Times New Roman" w:cs="Times New Roman"/>
          <w:bCs/>
          <w:szCs w:val="32"/>
        </w:rPr>
      </w:pPr>
      <w:r w:rsidRPr="00885A57">
        <w:rPr>
          <w:rFonts w:ascii="Times New Roman" w:eastAsia="標楷體" w:hAnsi="Times New Roman" w:cs="Times New Roman"/>
          <w:bCs/>
          <w:szCs w:val="24"/>
        </w:rPr>
        <w:t xml:space="preserve">To prevent injustice, the MOJ has promulgated the </w:t>
      </w:r>
      <w:r w:rsidRPr="002153DE">
        <w:rPr>
          <w:rFonts w:ascii="Times New Roman" w:eastAsia="標楷體" w:hAnsi="Times New Roman" w:cs="Times New Roman"/>
          <w:bCs/>
          <w:iCs/>
          <w:szCs w:val="24"/>
        </w:rPr>
        <w:t>Directions of Prosecutorial Authorities Reviewing Finalized Conviction Cases</w:t>
      </w:r>
      <w:r w:rsidRPr="00885A57">
        <w:rPr>
          <w:rFonts w:ascii="Times New Roman" w:eastAsia="標楷體" w:hAnsi="Times New Roman" w:cs="Times New Roman"/>
          <w:bCs/>
          <w:szCs w:val="24"/>
        </w:rPr>
        <w:t>. The ministry has established a committee for finalized conviction cases at the Taiwan High Prosecutors Office, with the aim of reviewing rejected retrial motions and extraordinary appeals. The chief prosecutor convene</w:t>
      </w:r>
      <w:r w:rsidR="00D65ED6">
        <w:rPr>
          <w:rFonts w:ascii="Times New Roman" w:eastAsia="標楷體" w:hAnsi="Times New Roman" w:cs="Times New Roman"/>
          <w:bCs/>
          <w:szCs w:val="24"/>
        </w:rPr>
        <w:t>s</w:t>
      </w:r>
      <w:r w:rsidRPr="00885A57">
        <w:rPr>
          <w:rFonts w:ascii="Times New Roman" w:eastAsia="標楷體" w:hAnsi="Times New Roman" w:cs="Times New Roman"/>
          <w:bCs/>
          <w:szCs w:val="24"/>
        </w:rPr>
        <w:t xml:space="preserve"> the committee and invite</w:t>
      </w:r>
      <w:r w:rsidR="00D65ED6">
        <w:rPr>
          <w:rFonts w:ascii="Times New Roman" w:eastAsia="標楷體" w:hAnsi="Times New Roman" w:cs="Times New Roman"/>
          <w:bCs/>
          <w:szCs w:val="24"/>
        </w:rPr>
        <w:t>s</w:t>
      </w:r>
      <w:r w:rsidRPr="00885A57">
        <w:rPr>
          <w:rFonts w:ascii="Times New Roman" w:eastAsia="標楷體" w:hAnsi="Times New Roman" w:cs="Times New Roman"/>
          <w:bCs/>
          <w:szCs w:val="24"/>
        </w:rPr>
        <w:t xml:space="preserve"> other relevant chief prosecutors or appointed </w:t>
      </w:r>
      <w:r w:rsidRPr="00CC0997">
        <w:rPr>
          <w:rFonts w:ascii="Times New Roman" w:eastAsia="標楷體" w:hAnsi="Times New Roman" w:cs="Times New Roman"/>
          <w:bCs/>
          <w:szCs w:val="24"/>
        </w:rPr>
        <w:t>head prosecutors</w:t>
      </w:r>
      <w:r w:rsidRPr="00885A57">
        <w:rPr>
          <w:rFonts w:ascii="Times New Roman" w:eastAsia="標楷體" w:hAnsi="Times New Roman" w:cs="Times New Roman"/>
          <w:bCs/>
          <w:szCs w:val="24"/>
        </w:rPr>
        <w:t xml:space="preserve">, prosecutors, forensic pathologists, crime scene investigators, criminal law scholars, attorneys, and retired judges or prosecutors to join the committee. The Taiwan Bar Association, regional bar associations, and other groups or organizations aiming to protect legal and human rights may urge the committee to review a finalized conviction case and to </w:t>
      </w:r>
      <w:r w:rsidRPr="00885A57">
        <w:rPr>
          <w:rFonts w:ascii="Times New Roman" w:eastAsia="標楷體" w:hAnsi="Times New Roman" w:cs="Times New Roman"/>
          <w:bCs/>
          <w:szCs w:val="24"/>
        </w:rPr>
        <w:lastRenderedPageBreak/>
        <w:t xml:space="preserve">determine whether grounds for a retrial or extraordinary appeal exist as provided by the </w:t>
      </w:r>
      <w:r w:rsidRPr="002153DE">
        <w:rPr>
          <w:rFonts w:ascii="Times New Roman" w:eastAsia="標楷體" w:hAnsi="Times New Roman" w:cs="Times New Roman"/>
          <w:bCs/>
          <w:iCs/>
          <w:szCs w:val="24"/>
        </w:rPr>
        <w:t>Code of Criminal Procedure</w:t>
      </w:r>
      <w:r w:rsidRPr="00885A57">
        <w:rPr>
          <w:rFonts w:ascii="Times New Roman" w:eastAsia="標楷體" w:hAnsi="Times New Roman" w:cs="Times New Roman"/>
          <w:bCs/>
          <w:szCs w:val="24"/>
        </w:rPr>
        <w:t>. Regarding finalized death sentences, relevant organizations or groups may submit an opinion letter specifying their doubts about the case in question to the Taiwan High Prosecutors Office, which is reviewed by the aforementioned committee.</w:t>
      </w:r>
    </w:p>
    <w:p w14:paraId="75429997" w14:textId="46046C9D" w:rsidR="00013246" w:rsidRPr="00885A57" w:rsidRDefault="0031515A" w:rsidP="001A2139">
      <w:pPr>
        <w:pStyle w:val="a7"/>
        <w:numPr>
          <w:ilvl w:val="0"/>
          <w:numId w:val="45"/>
        </w:numPr>
        <w:spacing w:after="120" w:line="360" w:lineRule="auto"/>
        <w:ind w:leftChars="0" w:left="567" w:hanging="567"/>
        <w:jc w:val="both"/>
        <w:rPr>
          <w:rFonts w:ascii="Times New Roman" w:eastAsia="標楷體" w:hAnsi="Times New Roman" w:cs="Times New Roman"/>
          <w:bCs/>
          <w:szCs w:val="32"/>
        </w:rPr>
      </w:pPr>
      <w:r w:rsidRPr="00885A57">
        <w:rPr>
          <w:rFonts w:ascii="Times New Roman" w:eastAsia="標楷體" w:hAnsi="Times New Roman" w:cs="Times New Roman"/>
          <w:bCs/>
          <w:szCs w:val="24"/>
        </w:rPr>
        <w:t xml:space="preserve">The </w:t>
      </w:r>
      <w:r w:rsidRPr="002153DE">
        <w:rPr>
          <w:rFonts w:ascii="Times New Roman" w:eastAsia="標楷體" w:hAnsi="Times New Roman" w:cs="Times New Roman"/>
          <w:bCs/>
          <w:iCs/>
          <w:szCs w:val="24"/>
        </w:rPr>
        <w:t xml:space="preserve">Criminal Code of </w:t>
      </w:r>
      <w:r w:rsidR="00355C17">
        <w:rPr>
          <w:rFonts w:ascii="Times New Roman" w:eastAsia="標楷體" w:hAnsi="Times New Roman" w:cs="Times New Roman"/>
          <w:bCs/>
          <w:iCs/>
          <w:szCs w:val="24"/>
        </w:rPr>
        <w:t>Taiwan</w:t>
      </w:r>
      <w:r w:rsidRPr="00885A57">
        <w:rPr>
          <w:rFonts w:ascii="Times New Roman" w:eastAsia="標楷體" w:hAnsi="Times New Roman" w:cs="Times New Roman"/>
          <w:bCs/>
          <w:szCs w:val="24"/>
        </w:rPr>
        <w:t xml:space="preserve"> accommodates individuals with mental disorders or intellectual disabilities by providing reduced punishments, including exemption from punishment and commutation. Where a defendant or inmate is deemed insane during the trial or pending imposition of the death penalty, the trial or execution shall be ceased. In accordance </w:t>
      </w:r>
      <w:r w:rsidR="00676BD5">
        <w:rPr>
          <w:rFonts w:ascii="Times New Roman" w:eastAsia="標楷體" w:hAnsi="Times New Roman" w:cs="Times New Roman"/>
          <w:bCs/>
          <w:szCs w:val="24"/>
        </w:rPr>
        <w:t>with</w:t>
      </w:r>
      <w:r w:rsidR="00676BD5" w:rsidRPr="00885A57">
        <w:rPr>
          <w:rFonts w:ascii="Times New Roman" w:eastAsia="標楷體" w:hAnsi="Times New Roman" w:cs="Times New Roman"/>
          <w:bCs/>
          <w:szCs w:val="24"/>
        </w:rPr>
        <w:t xml:space="preserve"> </w:t>
      </w:r>
      <w:r w:rsidRPr="00885A57">
        <w:rPr>
          <w:rFonts w:ascii="Times New Roman" w:eastAsia="標楷體" w:hAnsi="Times New Roman" w:cs="Times New Roman"/>
          <w:bCs/>
          <w:szCs w:val="24"/>
        </w:rPr>
        <w:t xml:space="preserve">the </w:t>
      </w:r>
      <w:r w:rsidRPr="002153DE">
        <w:rPr>
          <w:rFonts w:ascii="Times New Roman" w:eastAsia="標楷體" w:hAnsi="Times New Roman" w:cs="Times New Roman"/>
          <w:bCs/>
          <w:iCs/>
          <w:szCs w:val="24"/>
        </w:rPr>
        <w:t xml:space="preserve">Guidance </w:t>
      </w:r>
      <w:r w:rsidR="008B6A43">
        <w:rPr>
          <w:rFonts w:ascii="Times New Roman" w:eastAsia="標楷體" w:hAnsi="Times New Roman" w:cs="Times New Roman"/>
          <w:bCs/>
          <w:iCs/>
          <w:szCs w:val="24"/>
        </w:rPr>
        <w:t xml:space="preserve">for </w:t>
      </w:r>
      <w:r w:rsidRPr="002153DE">
        <w:rPr>
          <w:rFonts w:ascii="Times New Roman" w:eastAsia="標楷體" w:hAnsi="Times New Roman" w:cs="Times New Roman"/>
          <w:bCs/>
          <w:iCs/>
          <w:szCs w:val="24"/>
        </w:rPr>
        <w:t>Reviewing Death Penalty Cases</w:t>
      </w:r>
      <w:r w:rsidRPr="00885A57">
        <w:rPr>
          <w:rFonts w:ascii="Times New Roman" w:eastAsia="標楷體" w:hAnsi="Times New Roman" w:cs="Times New Roman"/>
          <w:bCs/>
          <w:szCs w:val="24"/>
        </w:rPr>
        <w:t xml:space="preserve">, the MOJ shall meticulously review each death penalty case with great discretion and the mental health status of the inmate </w:t>
      </w:r>
      <w:r w:rsidR="008B6A43">
        <w:rPr>
          <w:rFonts w:ascii="Times New Roman" w:eastAsia="標楷體" w:hAnsi="Times New Roman" w:cs="Times New Roman"/>
          <w:bCs/>
          <w:szCs w:val="24"/>
        </w:rPr>
        <w:t xml:space="preserve">shall </w:t>
      </w:r>
      <w:r w:rsidRPr="00885A57">
        <w:rPr>
          <w:rFonts w:ascii="Times New Roman" w:eastAsia="標楷體" w:hAnsi="Times New Roman" w:cs="Times New Roman"/>
          <w:bCs/>
          <w:szCs w:val="24"/>
        </w:rPr>
        <w:t xml:space="preserve">be given special attention. In the event of any doubt as to mental fitness, the death penalty shall not be imposed until the doubt is resolved. In collaboration with the Judicial Yuan, the MOJ actively engaged in amending Articles 465 and 467 of the </w:t>
      </w:r>
      <w:r w:rsidRPr="002153DE">
        <w:rPr>
          <w:rFonts w:ascii="Times New Roman" w:eastAsia="標楷體" w:hAnsi="Times New Roman" w:cs="Times New Roman"/>
          <w:bCs/>
          <w:iCs/>
          <w:szCs w:val="24"/>
        </w:rPr>
        <w:t>Code of Criminal Procedure</w:t>
      </w:r>
      <w:r w:rsidRPr="00885A57">
        <w:rPr>
          <w:rFonts w:ascii="Times New Roman" w:eastAsia="標楷體" w:hAnsi="Times New Roman" w:cs="Times New Roman"/>
          <w:bCs/>
          <w:szCs w:val="24"/>
        </w:rPr>
        <w:t>.</w:t>
      </w:r>
    </w:p>
    <w:p w14:paraId="6C8A8B24" w14:textId="4EF4BA1F" w:rsidR="00787B99" w:rsidRPr="00885A57" w:rsidRDefault="00496C3D" w:rsidP="00BF7DB0">
      <w:pPr>
        <w:pStyle w:val="10"/>
        <w:spacing w:after="120" w:line="360" w:lineRule="auto"/>
        <w:rPr>
          <w:rFonts w:ascii="Times New Roman" w:hAnsi="Times New Roman"/>
        </w:rPr>
      </w:pPr>
      <w:bookmarkStart w:id="76" w:name="_Toc73108680"/>
      <w:r w:rsidRPr="00885A57">
        <w:rPr>
          <w:rFonts w:ascii="Times New Roman" w:hAnsi="Times New Roman"/>
        </w:rPr>
        <w:t>Article 11</w:t>
      </w:r>
      <w:bookmarkStart w:id="77" w:name="_Toc55900578"/>
      <w:r w:rsidR="00B645D5" w:rsidRPr="00885A57">
        <w:rPr>
          <w:rFonts w:ascii="Times New Roman" w:hAnsi="Times New Roman"/>
        </w:rPr>
        <w:t xml:space="preserve">: </w:t>
      </w:r>
      <w:r w:rsidR="00676BD5">
        <w:rPr>
          <w:rFonts w:ascii="Times New Roman" w:hAnsi="Times New Roman"/>
        </w:rPr>
        <w:t xml:space="preserve">Disasters </w:t>
      </w:r>
      <w:r w:rsidRPr="00885A57">
        <w:rPr>
          <w:rFonts w:ascii="Times New Roman" w:hAnsi="Times New Roman"/>
        </w:rPr>
        <w:t>and humanitarian emergencies</w:t>
      </w:r>
      <w:bookmarkEnd w:id="76"/>
      <w:r w:rsidR="00E220EA" w:rsidRPr="00885A57">
        <w:rPr>
          <w:rFonts w:ascii="Times New Roman" w:hAnsi="Times New Roman"/>
        </w:rPr>
        <w:t xml:space="preserve">      </w:t>
      </w:r>
      <w:bookmarkEnd w:id="77"/>
    </w:p>
    <w:p w14:paraId="609DC1C0" w14:textId="5C4B641C" w:rsidR="000363D7" w:rsidRPr="00885A57" w:rsidRDefault="000E421B"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78" w:name="_Ref55908938"/>
      <w:r w:rsidRPr="00885A57">
        <w:rPr>
          <w:rFonts w:ascii="Times New Roman" w:eastAsia="標楷體" w:hAnsi="Times New Roman" w:cs="Times New Roman"/>
          <w:szCs w:val="24"/>
        </w:rPr>
        <w:t xml:space="preserve">To protect the rights of people with disabilities </w:t>
      </w:r>
      <w:r w:rsidR="00676BD5">
        <w:rPr>
          <w:rFonts w:ascii="Times New Roman" w:eastAsia="標楷體" w:hAnsi="Times New Roman" w:cs="Times New Roman"/>
          <w:szCs w:val="24"/>
        </w:rPr>
        <w:t xml:space="preserve">during disasters </w:t>
      </w:r>
      <w:r w:rsidRPr="00885A57">
        <w:rPr>
          <w:rFonts w:ascii="Times New Roman" w:eastAsia="標楷體" w:hAnsi="Times New Roman" w:cs="Times New Roman"/>
          <w:szCs w:val="24"/>
        </w:rPr>
        <w:t>and emergencies, the central government has stipulated plans for disaster prevention and protection (DPP)</w:t>
      </w:r>
      <w:r w:rsidRPr="00885A57">
        <w:rPr>
          <w:rFonts w:ascii="Times New Roman" w:eastAsia="標楷體" w:hAnsi="Times New Roman" w:cs="Times New Roman"/>
          <w:vertAlign w:val="superscript"/>
        </w:rPr>
        <w:footnoteReference w:id="48"/>
      </w:r>
      <w:r w:rsidRPr="00885A57">
        <w:rPr>
          <w:rFonts w:ascii="Times New Roman" w:eastAsia="標楷體" w:hAnsi="Times New Roman" w:cs="Times New Roman"/>
          <w:szCs w:val="24"/>
        </w:rPr>
        <w:t xml:space="preserve"> pursuant to the </w:t>
      </w:r>
      <w:r w:rsidRPr="002153DE">
        <w:rPr>
          <w:rFonts w:ascii="Times New Roman" w:eastAsia="標楷體" w:hAnsi="Times New Roman" w:cs="Times New Roman"/>
          <w:iCs/>
          <w:szCs w:val="24"/>
        </w:rPr>
        <w:t>Disaster Prevention and Protection Act</w:t>
      </w:r>
      <w:r w:rsidRPr="00885A57">
        <w:rPr>
          <w:rFonts w:ascii="Times New Roman" w:eastAsia="標楷體" w:hAnsi="Times New Roman" w:cs="Times New Roman"/>
          <w:szCs w:val="24"/>
        </w:rPr>
        <w:t xml:space="preserve"> and by referring </w:t>
      </w:r>
      <w:r w:rsidRPr="00885A57">
        <w:rPr>
          <w:rFonts w:ascii="Times New Roman" w:eastAsia="標楷體" w:hAnsi="Times New Roman" w:cs="Times New Roman"/>
          <w:szCs w:val="24"/>
        </w:rPr>
        <w:lastRenderedPageBreak/>
        <w:t xml:space="preserve">to the Sendai Framework for Disaster Risk Reduction. In these plans, the Measures to Strengthen Disaster Prevention and Protection for Underprivileged and Low-Income Groups are specified in </w:t>
      </w:r>
      <w:r w:rsidR="008B6A43">
        <w:rPr>
          <w:rFonts w:ascii="Times New Roman" w:eastAsia="標楷體" w:hAnsi="Times New Roman" w:cs="Times New Roman"/>
          <w:szCs w:val="24"/>
        </w:rPr>
        <w:t xml:space="preserve">their own </w:t>
      </w:r>
      <w:r w:rsidRPr="00885A57">
        <w:rPr>
          <w:rFonts w:ascii="Times New Roman" w:eastAsia="標楷體" w:hAnsi="Times New Roman" w:cs="Times New Roman"/>
          <w:szCs w:val="24"/>
        </w:rPr>
        <w:t>chapter, with the aim of satisfying the unique needs of people with disabilities during disasters. Since 2020, people with disabilities and their representative organizations have been invited to amend respective DPP plans</w:t>
      </w:r>
      <w:r w:rsidRPr="00885A57">
        <w:rPr>
          <w:rFonts w:ascii="Times New Roman" w:eastAsia="標楷體" w:hAnsi="Times New Roman" w:cs="Times New Roman"/>
          <w:vertAlign w:val="superscript"/>
        </w:rPr>
        <w:footnoteReference w:id="49"/>
      </w:r>
      <w:r w:rsidRPr="00885A57">
        <w:rPr>
          <w:rFonts w:ascii="Times New Roman" w:eastAsia="標楷體" w:hAnsi="Times New Roman" w:cs="Times New Roman"/>
          <w:szCs w:val="24"/>
        </w:rPr>
        <w:t xml:space="preserve"> adopted by </w:t>
      </w:r>
      <w:r w:rsidR="00465808">
        <w:rPr>
          <w:rFonts w:ascii="Times New Roman" w:eastAsia="標楷體" w:hAnsi="Times New Roman" w:cs="Times New Roman"/>
          <w:szCs w:val="24"/>
        </w:rPr>
        <w:t>governments at all levels</w:t>
      </w:r>
      <w:r w:rsidRPr="00885A57">
        <w:rPr>
          <w:rFonts w:ascii="Times New Roman" w:eastAsia="標楷體" w:hAnsi="Times New Roman" w:cs="Times New Roman"/>
          <w:szCs w:val="24"/>
        </w:rPr>
        <w:t>, thereby increasing the feasibility of implementation.</w:t>
      </w:r>
      <w:bookmarkEnd w:id="78"/>
      <w:r w:rsidRPr="00885A57">
        <w:rPr>
          <w:rStyle w:val="ab"/>
          <w:rFonts w:ascii="Times New Roman" w:eastAsia="標楷體" w:hAnsi="Times New Roman" w:cs="Times New Roman"/>
        </w:rPr>
        <w:footnoteReference w:id="50"/>
      </w:r>
    </w:p>
    <w:p w14:paraId="792D1EEA" w14:textId="2C4B99D7" w:rsidR="006C66B9" w:rsidRPr="00885A57" w:rsidRDefault="000E421B"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kern w:val="3"/>
          <w:szCs w:val="24"/>
        </w:rPr>
        <w:t xml:space="preserve">To safeguard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kern w:val="3"/>
          <w:szCs w:val="24"/>
        </w:rPr>
        <w:t xml:space="preserve"> with disabilities in the event of disaster emergencies, </w:t>
      </w:r>
      <w:r w:rsidR="00E64191">
        <w:rPr>
          <w:rFonts w:ascii="Times New Roman" w:eastAsia="標楷體" w:hAnsi="Times New Roman" w:cs="Times New Roman"/>
          <w:kern w:val="3"/>
          <w:szCs w:val="24"/>
        </w:rPr>
        <w:t xml:space="preserve">governments at all levels </w:t>
      </w:r>
      <w:r w:rsidRPr="00885A57">
        <w:rPr>
          <w:rFonts w:ascii="Times New Roman" w:eastAsia="標楷體" w:hAnsi="Times New Roman" w:cs="Times New Roman"/>
          <w:kern w:val="3"/>
          <w:szCs w:val="24"/>
        </w:rPr>
        <w:t>have ensured that their standard operating procedures for disaster emergencies (e.g., floods, debris flow disaster</w:t>
      </w:r>
      <w:r w:rsidR="0057121F">
        <w:rPr>
          <w:rFonts w:ascii="Times New Roman" w:eastAsia="標楷體" w:hAnsi="Times New Roman" w:cs="Times New Roman"/>
          <w:kern w:val="3"/>
          <w:szCs w:val="24"/>
        </w:rPr>
        <w:t>s</w:t>
      </w:r>
      <w:r w:rsidRPr="00885A57">
        <w:rPr>
          <w:rFonts w:ascii="Times New Roman" w:eastAsia="標楷體" w:hAnsi="Times New Roman" w:cs="Times New Roman"/>
          <w:kern w:val="3"/>
          <w:szCs w:val="24"/>
        </w:rPr>
        <w:t xml:space="preserve">, and nuclear incidents) prioritize the protection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kern w:val="3"/>
          <w:szCs w:val="24"/>
        </w:rPr>
        <w:t xml:space="preserve"> with disabilities and other vulnerable people.</w:t>
      </w:r>
    </w:p>
    <w:p w14:paraId="6FACF217" w14:textId="7FE1B665" w:rsidR="0070225F" w:rsidRPr="00885A57" w:rsidRDefault="000E421B"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kern w:val="3"/>
          <w:szCs w:val="24"/>
        </w:rPr>
        <w:t xml:space="preserve">To ensure the participation of people with disabilities in disaster preparedness and emergency response, </w:t>
      </w:r>
      <w:r w:rsidR="00E64191">
        <w:rPr>
          <w:rFonts w:ascii="Times New Roman" w:eastAsia="標楷體" w:hAnsi="Times New Roman" w:cs="Times New Roman"/>
          <w:kern w:val="3"/>
          <w:szCs w:val="24"/>
        </w:rPr>
        <w:t xml:space="preserve">governments at all levels </w:t>
      </w:r>
      <w:r w:rsidRPr="00885A57">
        <w:rPr>
          <w:rFonts w:ascii="Times New Roman" w:eastAsia="標楷體" w:hAnsi="Times New Roman" w:cs="Times New Roman"/>
          <w:kern w:val="3"/>
          <w:szCs w:val="24"/>
        </w:rPr>
        <w:t xml:space="preserve">host DPP drills, disaster-resistant community drills, and events on the National Day for Disaster Preparedness every year, thereby strengthening </w:t>
      </w:r>
      <w:r w:rsidR="0057121F">
        <w:rPr>
          <w:rFonts w:ascii="Times New Roman" w:eastAsia="標楷體" w:hAnsi="Times New Roman" w:cs="Times New Roman"/>
          <w:kern w:val="3"/>
          <w:szCs w:val="24"/>
        </w:rPr>
        <w:t xml:space="preserve">public communication on </w:t>
      </w:r>
      <w:r w:rsidRPr="00885A57">
        <w:rPr>
          <w:rFonts w:ascii="Times New Roman" w:eastAsia="標楷體" w:hAnsi="Times New Roman" w:cs="Times New Roman"/>
          <w:kern w:val="3"/>
          <w:szCs w:val="24"/>
        </w:rPr>
        <w:t>disaster prevention</w:t>
      </w:r>
      <w:r w:rsidRPr="00885A57">
        <w:rPr>
          <w:rFonts w:ascii="Times New Roman" w:eastAsia="新細明體" w:hAnsi="Times New Roman" w:cs="Times New Roman"/>
          <w:kern w:val="3"/>
          <w:szCs w:val="24"/>
          <w:shd w:val="clear" w:color="auto" w:fill="F9FBFB"/>
        </w:rPr>
        <w:t xml:space="preserve"> </w:t>
      </w:r>
      <w:r w:rsidRPr="00885A57">
        <w:rPr>
          <w:rFonts w:ascii="Times New Roman" w:eastAsia="標楷體" w:hAnsi="Times New Roman" w:cs="Times New Roman"/>
          <w:kern w:val="3"/>
          <w:szCs w:val="24"/>
        </w:rPr>
        <w:t xml:space="preserve">and drills </w:t>
      </w:r>
      <w:r w:rsidR="008B6A43">
        <w:rPr>
          <w:rFonts w:ascii="Times New Roman" w:eastAsia="標楷體" w:hAnsi="Times New Roman" w:cs="Times New Roman"/>
          <w:kern w:val="3"/>
          <w:szCs w:val="24"/>
        </w:rPr>
        <w:t xml:space="preserve">involving such </w:t>
      </w:r>
      <w:r w:rsidRPr="00885A57">
        <w:rPr>
          <w:rFonts w:ascii="Times New Roman" w:eastAsia="標楷體" w:hAnsi="Times New Roman" w:cs="Times New Roman"/>
          <w:kern w:val="3"/>
          <w:szCs w:val="24"/>
        </w:rPr>
        <w:t>persons (including disaster early warning and broadcast, disaster preparedness, emergency responses, evacuation</w:t>
      </w:r>
      <w:r w:rsidR="0057121F">
        <w:rPr>
          <w:rFonts w:ascii="Times New Roman" w:eastAsia="標楷體" w:hAnsi="Times New Roman" w:cs="Times New Roman"/>
          <w:kern w:val="3"/>
          <w:szCs w:val="24"/>
        </w:rPr>
        <w:t>,</w:t>
      </w:r>
      <w:r w:rsidRPr="00885A57">
        <w:rPr>
          <w:rFonts w:ascii="Times New Roman" w:eastAsia="標楷體" w:hAnsi="Times New Roman" w:cs="Times New Roman"/>
          <w:kern w:val="3"/>
          <w:szCs w:val="24"/>
        </w:rPr>
        <w:t xml:space="preserve"> and sheltering).</w:t>
      </w:r>
    </w:p>
    <w:p w14:paraId="484B7C02" w14:textId="6A5B1582" w:rsidR="003204DC" w:rsidRPr="00885A57" w:rsidRDefault="000E421B"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79" w:name="_Ref55909010"/>
      <w:r w:rsidRPr="00885A57">
        <w:rPr>
          <w:rFonts w:ascii="Times New Roman" w:eastAsia="標楷體" w:hAnsi="Times New Roman" w:cs="Times New Roman"/>
          <w:szCs w:val="24"/>
        </w:rPr>
        <w:t xml:space="preserve">To accelerate disaster response </w:t>
      </w:r>
      <w:r w:rsidR="0057121F">
        <w:rPr>
          <w:rFonts w:ascii="Times New Roman" w:eastAsia="標楷體" w:hAnsi="Times New Roman" w:cs="Times New Roman"/>
          <w:szCs w:val="24"/>
        </w:rPr>
        <w:t xml:space="preserve">for </w:t>
      </w:r>
      <w:r w:rsidRPr="00885A57">
        <w:rPr>
          <w:rFonts w:ascii="Times New Roman" w:eastAsia="標楷體" w:hAnsi="Times New Roman" w:cs="Times New Roman"/>
          <w:szCs w:val="24"/>
        </w:rPr>
        <w:t xml:space="preserve">people with disabilities, Taiwan organizes national </w:t>
      </w:r>
      <w:r w:rsidR="008B6A43">
        <w:rPr>
          <w:rFonts w:ascii="Times New Roman" w:eastAsia="標楷體" w:hAnsi="Times New Roman" w:cs="Times New Roman"/>
          <w:szCs w:val="24"/>
        </w:rPr>
        <w:t>d</w:t>
      </w:r>
      <w:r w:rsidRPr="00885A57">
        <w:rPr>
          <w:rFonts w:ascii="Times New Roman" w:eastAsia="標楷體" w:hAnsi="Times New Roman" w:cs="Times New Roman"/>
          <w:szCs w:val="24"/>
        </w:rPr>
        <w:t>i</w:t>
      </w:r>
      <w:r w:rsidR="008B6A43">
        <w:rPr>
          <w:rFonts w:ascii="Times New Roman" w:eastAsia="標楷體" w:hAnsi="Times New Roman" w:cs="Times New Roman"/>
          <w:szCs w:val="24"/>
        </w:rPr>
        <w:t>s</w:t>
      </w:r>
      <w:r w:rsidRPr="00885A57">
        <w:rPr>
          <w:rFonts w:ascii="Times New Roman" w:eastAsia="標楷體" w:hAnsi="Times New Roman" w:cs="Times New Roman"/>
          <w:szCs w:val="24"/>
        </w:rPr>
        <w:t xml:space="preserve">aster </w:t>
      </w:r>
      <w:r w:rsidR="008B6A43">
        <w:rPr>
          <w:rFonts w:ascii="Times New Roman" w:eastAsia="標楷體" w:hAnsi="Times New Roman" w:cs="Times New Roman"/>
          <w:szCs w:val="24"/>
        </w:rPr>
        <w:t>d</w:t>
      </w:r>
      <w:r w:rsidRPr="00885A57">
        <w:rPr>
          <w:rFonts w:ascii="Times New Roman" w:eastAsia="標楷體" w:hAnsi="Times New Roman" w:cs="Times New Roman"/>
          <w:szCs w:val="24"/>
        </w:rPr>
        <w:t xml:space="preserve">rills and provides simple online instructions for appropriate </w:t>
      </w:r>
      <w:r w:rsidRPr="00885A57">
        <w:rPr>
          <w:rFonts w:ascii="Times New Roman" w:eastAsia="標楷體" w:hAnsi="Times New Roman" w:cs="Times New Roman"/>
          <w:szCs w:val="24"/>
        </w:rPr>
        <w:lastRenderedPageBreak/>
        <w:t xml:space="preserve">action during earthquakes on </w:t>
      </w:r>
      <w:r w:rsidR="0057121F">
        <w:rPr>
          <w:rFonts w:ascii="Times New Roman" w:eastAsia="標楷體" w:hAnsi="Times New Roman" w:cs="Times New Roman"/>
          <w:szCs w:val="24"/>
        </w:rPr>
        <w:t xml:space="preserve">a dedicated </w:t>
      </w:r>
      <w:r w:rsidRPr="00885A57">
        <w:rPr>
          <w:rFonts w:ascii="Times New Roman" w:eastAsia="標楷體" w:hAnsi="Times New Roman" w:cs="Times New Roman"/>
          <w:szCs w:val="24"/>
        </w:rPr>
        <w:t xml:space="preserve">website. The government provides easy-to-understand images of actions </w:t>
      </w:r>
      <w:r w:rsidR="0057121F">
        <w:rPr>
          <w:rFonts w:ascii="Times New Roman" w:eastAsia="標楷體" w:hAnsi="Times New Roman" w:cs="Times New Roman"/>
          <w:szCs w:val="24"/>
        </w:rPr>
        <w:t xml:space="preserve">as well as </w:t>
      </w:r>
      <w:r w:rsidRPr="00885A57">
        <w:rPr>
          <w:rFonts w:ascii="Times New Roman" w:eastAsia="標楷體" w:hAnsi="Times New Roman" w:cs="Times New Roman"/>
          <w:szCs w:val="24"/>
        </w:rPr>
        <w:t xml:space="preserve">posters </w:t>
      </w:r>
      <w:r w:rsidR="00F85777">
        <w:rPr>
          <w:rFonts w:ascii="Times New Roman" w:eastAsia="標楷體" w:hAnsi="Times New Roman" w:cs="Times New Roman"/>
          <w:szCs w:val="24"/>
        </w:rPr>
        <w:t xml:space="preserve">that </w:t>
      </w:r>
      <w:r w:rsidRPr="00885A57">
        <w:rPr>
          <w:rFonts w:ascii="Times New Roman" w:eastAsia="標楷體" w:hAnsi="Times New Roman" w:cs="Times New Roman"/>
          <w:szCs w:val="24"/>
        </w:rPr>
        <w:t xml:space="preserve">share </w:t>
      </w:r>
      <w:r w:rsidR="00F85777">
        <w:rPr>
          <w:rFonts w:ascii="Times New Roman" w:eastAsia="標楷體" w:hAnsi="Times New Roman" w:cs="Times New Roman"/>
          <w:szCs w:val="24"/>
        </w:rPr>
        <w:t xml:space="preserve">information </w:t>
      </w:r>
      <w:r w:rsidRPr="00885A57">
        <w:rPr>
          <w:rFonts w:ascii="Times New Roman" w:eastAsia="標楷體" w:hAnsi="Times New Roman" w:cs="Times New Roman"/>
          <w:szCs w:val="24"/>
        </w:rPr>
        <w:t xml:space="preserve">on </w:t>
      </w:r>
      <w:r w:rsidR="0057121F">
        <w:rPr>
          <w:rFonts w:ascii="Times New Roman" w:eastAsia="標楷體" w:hAnsi="Times New Roman" w:cs="Times New Roman"/>
          <w:szCs w:val="24"/>
        </w:rPr>
        <w:t xml:space="preserve">how to respond </w:t>
      </w:r>
      <w:r w:rsidRPr="00885A57">
        <w:rPr>
          <w:rFonts w:ascii="Times New Roman" w:eastAsia="標楷體" w:hAnsi="Times New Roman" w:cs="Times New Roman"/>
          <w:szCs w:val="24"/>
        </w:rPr>
        <w:t xml:space="preserve">to disasters with </w:t>
      </w:r>
      <w:r w:rsidR="00EA0502" w:rsidRPr="00885A57">
        <w:rPr>
          <w:rFonts w:ascii="Times New Roman" w:eastAsia="標楷體" w:hAnsi="Times New Roman" w:cs="Times New Roman"/>
          <w:szCs w:val="24"/>
        </w:rPr>
        <w:t>people with physical impairment</w:t>
      </w:r>
      <w:r w:rsidR="0057121F">
        <w:rPr>
          <w:rFonts w:ascii="Times New Roman" w:eastAsia="標楷體" w:hAnsi="Times New Roman" w:cs="Times New Roman"/>
          <w:szCs w:val="24"/>
        </w:rPr>
        <w:t>s</w:t>
      </w:r>
      <w:r w:rsidRPr="00885A57">
        <w:rPr>
          <w:rFonts w:ascii="Times New Roman" w:eastAsia="標楷體" w:hAnsi="Times New Roman" w:cs="Times New Roman"/>
          <w:szCs w:val="24"/>
        </w:rPr>
        <w:t xml:space="preserve"> (those relying on crutches, assistive </w:t>
      </w:r>
      <w:r w:rsidR="00F45B99" w:rsidRPr="00885A57">
        <w:rPr>
          <w:rFonts w:ascii="Times New Roman" w:eastAsia="標楷體" w:hAnsi="Times New Roman" w:cs="Times New Roman"/>
          <w:szCs w:val="24"/>
        </w:rPr>
        <w:t>technologies,</w:t>
      </w:r>
      <w:r w:rsidRPr="00885A57">
        <w:rPr>
          <w:rFonts w:ascii="Times New Roman" w:eastAsia="標楷體" w:hAnsi="Times New Roman" w:cs="Times New Roman"/>
          <w:szCs w:val="24"/>
        </w:rPr>
        <w:t xml:space="preserve"> or wheelchairs). The government also </w:t>
      </w:r>
      <w:r w:rsidR="0057121F">
        <w:rPr>
          <w:rFonts w:ascii="Times New Roman" w:eastAsia="標楷體" w:hAnsi="Times New Roman" w:cs="Times New Roman"/>
          <w:szCs w:val="24"/>
        </w:rPr>
        <w:t xml:space="preserve">requires </w:t>
      </w:r>
      <w:r w:rsidRPr="00885A57">
        <w:rPr>
          <w:rFonts w:ascii="Times New Roman" w:eastAsia="標楷體" w:hAnsi="Times New Roman" w:cs="Times New Roman"/>
          <w:szCs w:val="24"/>
        </w:rPr>
        <w:t>long-term care institutions and other institutions housing vulnerable people to employ emergency exit signs that flash or that both flash and emit sound, with the aim of improving emergency guidance for vulnerable populations</w:t>
      </w:r>
      <w:bookmarkEnd w:id="79"/>
      <w:r w:rsidR="00F85777">
        <w:rPr>
          <w:rFonts w:ascii="Times New Roman" w:eastAsia="標楷體" w:hAnsi="Times New Roman" w:cs="Times New Roman"/>
        </w:rPr>
        <w:t>.</w:t>
      </w:r>
      <w:r w:rsidRPr="00885A57">
        <w:rPr>
          <w:rStyle w:val="ab"/>
          <w:rFonts w:ascii="Times New Roman" w:eastAsia="標楷體" w:hAnsi="Times New Roman" w:cs="Times New Roman"/>
        </w:rPr>
        <w:footnoteReference w:id="51"/>
      </w:r>
    </w:p>
    <w:p w14:paraId="66C7BA8A" w14:textId="43550281" w:rsidR="0070225F" w:rsidRPr="004A6C39" w:rsidRDefault="000E421B"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4A6C39">
        <w:rPr>
          <w:rFonts w:ascii="Times New Roman" w:eastAsia="標楷體" w:hAnsi="Times New Roman" w:cs="Times New Roman"/>
          <w:szCs w:val="24"/>
        </w:rPr>
        <w:t xml:space="preserve">To determine the status quo and </w:t>
      </w:r>
      <w:r w:rsidR="003B794D" w:rsidRPr="004A6C39">
        <w:rPr>
          <w:rFonts w:ascii="Times New Roman" w:eastAsia="標楷體" w:hAnsi="Times New Roman" w:cs="Times New Roman"/>
          <w:szCs w:val="24"/>
        </w:rPr>
        <w:t xml:space="preserve">needs </w:t>
      </w:r>
      <w:r w:rsidRPr="004A6C39">
        <w:rPr>
          <w:rFonts w:ascii="Times New Roman" w:eastAsia="標楷體" w:hAnsi="Times New Roman" w:cs="Times New Roman"/>
          <w:szCs w:val="24"/>
        </w:rPr>
        <w:t xml:space="preserve">of </w:t>
      </w:r>
      <w:r w:rsidRPr="004A6C39">
        <w:rPr>
          <w:rFonts w:ascii="Times New Roman" w:eastAsia="標楷體" w:hAnsi="Times New Roman" w:cs="Times New Roman"/>
          <w:kern w:val="0"/>
          <w:szCs w:val="24"/>
        </w:rPr>
        <w:t>people</w:t>
      </w:r>
      <w:r w:rsidRPr="004A6C39">
        <w:rPr>
          <w:rFonts w:ascii="Times New Roman" w:eastAsia="標楷體" w:hAnsi="Times New Roman" w:cs="Times New Roman"/>
          <w:szCs w:val="24"/>
        </w:rPr>
        <w:t xml:space="preserve"> with disabilities in regions susceptible to disasters, the government has created the National Welfare Information Integration Platform for </w:t>
      </w:r>
      <w:r w:rsidRPr="004A6C39">
        <w:rPr>
          <w:rFonts w:ascii="Times New Roman" w:eastAsia="標楷體" w:hAnsi="Times New Roman" w:cs="Times New Roman"/>
          <w:kern w:val="0"/>
          <w:szCs w:val="24"/>
        </w:rPr>
        <w:t>People</w:t>
      </w:r>
      <w:r w:rsidRPr="004A6C39">
        <w:rPr>
          <w:rFonts w:ascii="Times New Roman" w:eastAsia="標楷體" w:hAnsi="Times New Roman" w:cs="Times New Roman"/>
          <w:szCs w:val="24"/>
        </w:rPr>
        <w:t xml:space="preserve"> with Disabilities, which allows the government to acquire real-time information on said </w:t>
      </w:r>
      <w:r w:rsidRPr="004A6C39">
        <w:rPr>
          <w:rFonts w:ascii="Times New Roman" w:eastAsia="標楷體" w:hAnsi="Times New Roman" w:cs="Times New Roman"/>
          <w:kern w:val="0"/>
          <w:szCs w:val="24"/>
        </w:rPr>
        <w:t>people</w:t>
      </w:r>
      <w:r w:rsidRPr="004A6C39">
        <w:rPr>
          <w:rFonts w:ascii="Times New Roman" w:eastAsia="標楷體" w:hAnsi="Times New Roman" w:cs="Times New Roman"/>
          <w:szCs w:val="24"/>
        </w:rPr>
        <w:t xml:space="preserve"> and enables frontline DPP units to access such information to facilitate their efforts to protect </w:t>
      </w:r>
      <w:r w:rsidRPr="004A6C39">
        <w:rPr>
          <w:rFonts w:ascii="Times New Roman" w:eastAsia="標楷體" w:hAnsi="Times New Roman" w:cs="Times New Roman"/>
          <w:kern w:val="0"/>
          <w:szCs w:val="24"/>
        </w:rPr>
        <w:t>people</w:t>
      </w:r>
      <w:r w:rsidRPr="004A6C39">
        <w:rPr>
          <w:rFonts w:ascii="Times New Roman" w:eastAsia="標楷體" w:hAnsi="Times New Roman" w:cs="Times New Roman"/>
          <w:szCs w:val="24"/>
        </w:rPr>
        <w:t xml:space="preserve"> with disabilities from disasters.</w:t>
      </w:r>
    </w:p>
    <w:p w14:paraId="62AEDC06" w14:textId="0581BD0A" w:rsidR="00B41B74" w:rsidRPr="00885A57" w:rsidRDefault="000E421B"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80" w:name="_Ref55909154"/>
      <w:r w:rsidRPr="00885A57">
        <w:rPr>
          <w:rFonts w:ascii="Times New Roman" w:eastAsia="標楷體" w:hAnsi="Times New Roman" w:cs="Times New Roman"/>
          <w:szCs w:val="24"/>
        </w:rPr>
        <w:t xml:space="preserve">To </w:t>
      </w:r>
      <w:r w:rsidR="00CC3B0D">
        <w:rPr>
          <w:rFonts w:ascii="Times New Roman" w:eastAsia="標楷體" w:hAnsi="Times New Roman" w:cs="Times New Roman"/>
          <w:szCs w:val="24"/>
        </w:rPr>
        <w:t xml:space="preserve">prevent </w:t>
      </w:r>
      <w:r w:rsidRPr="00885A57">
        <w:rPr>
          <w:rFonts w:ascii="Times New Roman" w:eastAsia="標楷體" w:hAnsi="Times New Roman" w:cs="Times New Roman"/>
          <w:szCs w:val="24"/>
        </w:rPr>
        <w:t xml:space="preserve">health </w:t>
      </w:r>
      <w:r w:rsidR="00F85777">
        <w:rPr>
          <w:rFonts w:ascii="Times New Roman" w:eastAsia="標楷體" w:hAnsi="Times New Roman" w:cs="Times New Roman"/>
          <w:szCs w:val="24"/>
        </w:rPr>
        <w:t xml:space="preserve">problems </w:t>
      </w:r>
      <w:r w:rsidRPr="00885A57">
        <w:rPr>
          <w:rFonts w:ascii="Times New Roman" w:eastAsia="標楷體" w:hAnsi="Times New Roman" w:cs="Times New Roman"/>
          <w:szCs w:val="24"/>
        </w:rPr>
        <w:t xml:space="preserve">or life-threatening consequences befalling people with disabilities </w:t>
      </w:r>
      <w:r w:rsidR="00F85777">
        <w:rPr>
          <w:rFonts w:ascii="Times New Roman" w:eastAsia="標楷體" w:hAnsi="Times New Roman" w:cs="Times New Roman"/>
          <w:szCs w:val="24"/>
        </w:rPr>
        <w:t xml:space="preserve">on </w:t>
      </w:r>
      <w:r w:rsidRPr="00885A57">
        <w:rPr>
          <w:rFonts w:ascii="Times New Roman" w:eastAsia="標楷體" w:hAnsi="Times New Roman" w:cs="Times New Roman"/>
          <w:szCs w:val="24"/>
        </w:rPr>
        <w:t>life support equipment due to power outages, local government</w:t>
      </w:r>
      <w:r w:rsidR="00CC3B0D">
        <w:rPr>
          <w:rFonts w:ascii="Times New Roman" w:eastAsia="標楷體" w:hAnsi="Times New Roman" w:cs="Times New Roman"/>
          <w:szCs w:val="24"/>
        </w:rPr>
        <w:t>s</w:t>
      </w:r>
      <w:r w:rsidRPr="00885A57">
        <w:rPr>
          <w:rFonts w:ascii="Times New Roman" w:eastAsia="標楷體" w:hAnsi="Times New Roman" w:cs="Times New Roman"/>
          <w:szCs w:val="24"/>
        </w:rPr>
        <w:t xml:space="preserve"> regularly update </w:t>
      </w:r>
      <w:r w:rsidR="00CC3B0D">
        <w:rPr>
          <w:rFonts w:ascii="Times New Roman" w:eastAsia="標楷體" w:hAnsi="Times New Roman" w:cs="Times New Roman"/>
          <w:szCs w:val="24"/>
        </w:rPr>
        <w:t xml:space="preserve">their </w:t>
      </w:r>
      <w:r w:rsidRPr="00885A57">
        <w:rPr>
          <w:rFonts w:ascii="Times New Roman" w:eastAsia="標楷體" w:hAnsi="Times New Roman" w:cs="Times New Roman"/>
          <w:szCs w:val="24"/>
        </w:rPr>
        <w:t>list</w:t>
      </w:r>
      <w:r w:rsidR="00CC3B0D">
        <w:rPr>
          <w:rFonts w:ascii="Times New Roman" w:eastAsia="標楷體" w:hAnsi="Times New Roman" w:cs="Times New Roman"/>
          <w:szCs w:val="24"/>
        </w:rPr>
        <w:t>s</w:t>
      </w:r>
      <w:r w:rsidRPr="00885A57">
        <w:rPr>
          <w:rFonts w:ascii="Times New Roman" w:eastAsia="標楷體" w:hAnsi="Times New Roman" w:cs="Times New Roman"/>
          <w:szCs w:val="24"/>
        </w:rPr>
        <w:t xml:space="preserve"> of housebound people with disabilities using life support equipment and notifies nearby branches of Taiwan Power Company and </w:t>
      </w:r>
      <w:r w:rsidR="00CC3B0D">
        <w:rPr>
          <w:rFonts w:ascii="Times New Roman" w:eastAsia="標楷體" w:hAnsi="Times New Roman" w:cs="Times New Roman"/>
          <w:szCs w:val="24"/>
        </w:rPr>
        <w:t xml:space="preserve">borough chiefs </w:t>
      </w:r>
      <w:r w:rsidRPr="00885A57">
        <w:rPr>
          <w:rFonts w:ascii="Times New Roman" w:eastAsia="標楷體" w:hAnsi="Times New Roman" w:cs="Times New Roman"/>
          <w:szCs w:val="24"/>
        </w:rPr>
        <w:t>to provide for real-time assistance.</w:t>
      </w:r>
      <w:bookmarkEnd w:id="80"/>
      <w:r w:rsidRPr="00885A57">
        <w:rPr>
          <w:rStyle w:val="ab"/>
          <w:rFonts w:ascii="Times New Roman" w:eastAsia="標楷體" w:hAnsi="Times New Roman" w:cs="Times New Roman"/>
        </w:rPr>
        <w:footnoteReference w:id="52"/>
      </w:r>
    </w:p>
    <w:p w14:paraId="366A7221" w14:textId="12ECA515" w:rsidR="00393ECD" w:rsidRPr="00885A57" w:rsidRDefault="000E421B"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During the COVID-19 pandemic, Taiwan has, </w:t>
      </w:r>
      <w:r w:rsidR="0057589D">
        <w:rPr>
          <w:rFonts w:ascii="Times New Roman" w:eastAsia="標楷體" w:hAnsi="Times New Roman" w:cs="Times New Roman"/>
          <w:szCs w:val="24"/>
        </w:rPr>
        <w:t xml:space="preserve">considering </w:t>
      </w:r>
      <w:r w:rsidRPr="00885A57">
        <w:rPr>
          <w:rFonts w:ascii="Times New Roman" w:eastAsia="標楷體" w:hAnsi="Times New Roman" w:cs="Times New Roman"/>
          <w:szCs w:val="24"/>
        </w:rPr>
        <w:t xml:space="preserve">the needs of </w:t>
      </w:r>
      <w:r w:rsidR="0057589D">
        <w:rPr>
          <w:rFonts w:ascii="Times New Roman" w:eastAsia="標楷體" w:hAnsi="Times New Roman" w:cs="Times New Roman"/>
          <w:szCs w:val="24"/>
        </w:rPr>
        <w:t xml:space="preserve">those </w:t>
      </w:r>
      <w:r w:rsidRPr="00885A57">
        <w:rPr>
          <w:rFonts w:ascii="Times New Roman" w:eastAsia="標楷體" w:hAnsi="Times New Roman" w:cs="Times New Roman"/>
          <w:szCs w:val="24"/>
        </w:rPr>
        <w:lastRenderedPageBreak/>
        <w:t xml:space="preserve">with disabilities, proposed various support measures pertaining to epidemic prevention, psychological services, schooling, employment, and financial relief, including </w:t>
      </w:r>
      <w:r w:rsidR="0057589D">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free distribution of face masks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who live alone and </w:t>
      </w:r>
      <w:r w:rsidR="00EA0502" w:rsidRPr="00885A57">
        <w:rPr>
          <w:rFonts w:ascii="Times New Roman" w:eastAsia="標楷體" w:hAnsi="Times New Roman" w:cs="Times New Roman"/>
          <w:szCs w:val="24"/>
        </w:rPr>
        <w:t>experience physical impairment</w:t>
      </w:r>
      <w:r w:rsidRPr="00885A57">
        <w:rPr>
          <w:rFonts w:ascii="Times New Roman" w:eastAsia="標楷體" w:hAnsi="Times New Roman" w:cs="Times New Roman"/>
          <w:szCs w:val="24"/>
        </w:rPr>
        <w:t xml:space="preserve">, living allowance bonuses for financially disadvantaged people, and emergency relief for which employed and unemployed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may apply. Additionally,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may apply for relevant services (e.g., at-home and community-based services) if their family, as their primary caregiver, cannot take care of them due to home isolation or home quarantine protocols. When home isolation or quarantine is required for a </w:t>
      </w:r>
      <w:r w:rsidRPr="00885A57">
        <w:rPr>
          <w:rFonts w:ascii="Times New Roman" w:eastAsia="標楷體" w:hAnsi="Times New Roman" w:cs="Times New Roman"/>
          <w:kern w:val="0"/>
          <w:szCs w:val="24"/>
        </w:rPr>
        <w:t xml:space="preserve">person </w:t>
      </w:r>
      <w:r w:rsidRPr="00885A57">
        <w:rPr>
          <w:rFonts w:ascii="Times New Roman" w:eastAsia="標楷體" w:hAnsi="Times New Roman" w:cs="Times New Roman"/>
          <w:szCs w:val="24"/>
        </w:rPr>
        <w:t xml:space="preserve">with disabilities, professionals may wear personal protective equipment as recommended by the Central Epidemic Command Center to provide relevant services for the </w:t>
      </w:r>
      <w:r w:rsidRPr="00885A57">
        <w:rPr>
          <w:rFonts w:ascii="Times New Roman" w:eastAsia="標楷體" w:hAnsi="Times New Roman" w:cs="Times New Roman"/>
          <w:kern w:val="0"/>
          <w:szCs w:val="24"/>
        </w:rPr>
        <w:t xml:space="preserve">person </w:t>
      </w:r>
      <w:r w:rsidRPr="00885A57">
        <w:rPr>
          <w:rFonts w:ascii="Times New Roman" w:eastAsia="標楷體" w:hAnsi="Times New Roman" w:cs="Times New Roman"/>
          <w:szCs w:val="24"/>
        </w:rPr>
        <w:t>if deemed urgently necessary. The MOHW intends to draft guidelines on responding to major infectious diseases that are applicable to various vulnerable populations.</w:t>
      </w:r>
    </w:p>
    <w:p w14:paraId="2CA9299E" w14:textId="3657F6AB" w:rsidR="00BD633A" w:rsidRPr="00885A57" w:rsidRDefault="0066443A"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81" w:name="_Ref55909074"/>
      <w:r w:rsidRPr="00885A57">
        <w:rPr>
          <w:rFonts w:ascii="Times New Roman" w:eastAsia="標楷體" w:hAnsi="Times New Roman" w:cs="Times New Roman"/>
        </w:rPr>
        <w:t>To safeguard the right to know during disasters, the government has adopted the following measures to achieve disaster warning and information provision:</w:t>
      </w:r>
      <w:bookmarkEnd w:id="81"/>
      <w:r w:rsidRPr="00885A57">
        <w:rPr>
          <w:rStyle w:val="ab"/>
          <w:rFonts w:ascii="Times New Roman" w:eastAsia="標楷體" w:hAnsi="Times New Roman" w:cs="Times New Roman"/>
        </w:rPr>
        <w:footnoteReference w:id="53"/>
      </w:r>
    </w:p>
    <w:p w14:paraId="4D781352" w14:textId="79AB0CC1" w:rsidR="0066443A" w:rsidRPr="00885A57" w:rsidRDefault="0066443A" w:rsidP="001A2139">
      <w:pPr>
        <w:numPr>
          <w:ilvl w:val="1"/>
          <w:numId w:val="9"/>
        </w:numPr>
        <w:spacing w:after="120" w:line="360" w:lineRule="auto"/>
        <w:jc w:val="both"/>
        <w:rPr>
          <w:rFonts w:ascii="Times New Roman" w:eastAsia="標楷體" w:hAnsi="Times New Roman" w:cs="Times New Roman"/>
        </w:rPr>
      </w:pPr>
      <w:r w:rsidRPr="00885A57">
        <w:rPr>
          <w:rFonts w:ascii="Times New Roman" w:eastAsia="標楷體" w:hAnsi="Times New Roman" w:cs="Times New Roman"/>
        </w:rPr>
        <w:t xml:space="preserve">The government has established the website </w:t>
      </w:r>
      <w:r w:rsidR="000D24EA">
        <w:rPr>
          <w:rFonts w:ascii="Times New Roman" w:eastAsia="標楷體" w:hAnsi="Times New Roman" w:cs="Times New Roman"/>
        </w:rPr>
        <w:t xml:space="preserve">called </w:t>
      </w:r>
      <w:r w:rsidRPr="00885A57">
        <w:rPr>
          <w:rFonts w:ascii="Times New Roman" w:eastAsia="標楷體" w:hAnsi="Times New Roman" w:cs="Times New Roman"/>
        </w:rPr>
        <w:t xml:space="preserve">Easy to Do, which includes a disaster management platform for long-term care institutions and provides strategies of disaster risk reduction and response related to typhoons, floods, and earthquakes. The platform is aimed at strengthening disaster risk awareness as well as disaster management capabilities of staff working for </w:t>
      </w:r>
      <w:r w:rsidRPr="00885A57">
        <w:rPr>
          <w:rFonts w:ascii="Times New Roman" w:eastAsia="標楷體" w:hAnsi="Times New Roman" w:cs="Times New Roman"/>
        </w:rPr>
        <w:lastRenderedPageBreak/>
        <w:t>social welfare institutions, nursing homes, and other similar institutions; the goal is to improve the effectiveness of disaster response and evacuation.</w:t>
      </w:r>
    </w:p>
    <w:p w14:paraId="128A0F0D" w14:textId="39727E41" w:rsidR="0066443A" w:rsidRPr="00885A57" w:rsidRDefault="0066443A" w:rsidP="001A2139">
      <w:pPr>
        <w:numPr>
          <w:ilvl w:val="1"/>
          <w:numId w:val="9"/>
        </w:numPr>
        <w:spacing w:after="120" w:line="360" w:lineRule="auto"/>
        <w:jc w:val="both"/>
        <w:rPr>
          <w:rFonts w:ascii="Times New Roman" w:eastAsia="標楷體" w:hAnsi="Times New Roman" w:cs="Times New Roman"/>
        </w:rPr>
      </w:pPr>
      <w:r w:rsidRPr="00885A57">
        <w:rPr>
          <w:rFonts w:ascii="Times New Roman" w:eastAsia="標楷體" w:hAnsi="Times New Roman" w:cs="Times New Roman"/>
        </w:rPr>
        <w:t xml:space="preserve">During emergencies, people with disabilities may acquire disaster information and the latest updates through phone calls, sign language simultaneous interpretation on television broadcasts, radio broadcasting, the </w:t>
      </w:r>
      <w:r w:rsidR="00FC1FDD">
        <w:rPr>
          <w:rFonts w:ascii="Times New Roman" w:eastAsia="標楷體" w:hAnsi="Times New Roman" w:cs="Times New Roman"/>
        </w:rPr>
        <w:t>i</w:t>
      </w:r>
      <w:r w:rsidRPr="00885A57">
        <w:rPr>
          <w:rFonts w:ascii="Times New Roman" w:eastAsia="標楷體" w:hAnsi="Times New Roman" w:cs="Times New Roman"/>
        </w:rPr>
        <w:t xml:space="preserve">nternet, social networking sites, the Platform </w:t>
      </w:r>
      <w:r w:rsidR="00FC1FDD">
        <w:rPr>
          <w:rFonts w:ascii="Times New Roman" w:eastAsia="標楷體" w:hAnsi="Times New Roman" w:cs="Times New Roman"/>
        </w:rPr>
        <w:t>for</w:t>
      </w:r>
      <w:r w:rsidR="00FC1FDD" w:rsidRPr="00885A57">
        <w:rPr>
          <w:rFonts w:ascii="Times New Roman" w:eastAsia="標楷體" w:hAnsi="Times New Roman" w:cs="Times New Roman"/>
        </w:rPr>
        <w:t xml:space="preserve"> </w:t>
      </w:r>
      <w:r w:rsidRPr="00885A57">
        <w:rPr>
          <w:rFonts w:ascii="Times New Roman" w:eastAsia="標楷體" w:hAnsi="Times New Roman" w:cs="Times New Roman"/>
        </w:rPr>
        <w:t xml:space="preserve">Disaster Prevention and Protection Information, and exclusive websites concerning the disaster information in question. The government has implemented accessible disaster prevention and warning services for </w:t>
      </w:r>
      <w:r w:rsidR="00672432" w:rsidRPr="00885A57">
        <w:rPr>
          <w:rFonts w:ascii="Times New Roman" w:eastAsia="標楷體" w:hAnsi="Times New Roman" w:cs="Times New Roman"/>
        </w:rPr>
        <w:t>people with</w:t>
      </w:r>
      <w:r w:rsidRPr="00885A57">
        <w:rPr>
          <w:rFonts w:ascii="Times New Roman" w:eastAsia="標楷體" w:hAnsi="Times New Roman" w:cs="Times New Roman"/>
        </w:rPr>
        <w:t xml:space="preserve"> visual and hearing (speech and language) impairment, including screen readers, voice assistants, and vibration alerts.</w:t>
      </w:r>
      <w:r w:rsidRPr="00885A57">
        <w:rPr>
          <w:rStyle w:val="ab"/>
          <w:rFonts w:ascii="Times New Roman" w:eastAsia="標楷體" w:hAnsi="Times New Roman" w:cs="Times New Roman"/>
        </w:rPr>
        <w:footnoteReference w:id="54"/>
      </w:r>
    </w:p>
    <w:p w14:paraId="55702C87" w14:textId="583EC3F9" w:rsidR="0066443A" w:rsidRPr="00885A57" w:rsidRDefault="0066443A" w:rsidP="001A2139">
      <w:pPr>
        <w:numPr>
          <w:ilvl w:val="1"/>
          <w:numId w:val="9"/>
        </w:numPr>
        <w:spacing w:after="120" w:line="360" w:lineRule="auto"/>
        <w:jc w:val="both"/>
        <w:rPr>
          <w:rFonts w:ascii="Times New Roman" w:eastAsia="標楷體" w:hAnsi="Times New Roman" w:cs="Times New Roman"/>
        </w:rPr>
      </w:pPr>
      <w:r w:rsidRPr="00885A57">
        <w:rPr>
          <w:rFonts w:ascii="Times New Roman" w:eastAsia="標楷體" w:hAnsi="Times New Roman" w:cs="Times New Roman"/>
        </w:rPr>
        <w:t xml:space="preserve">To protect the rights of people with disabilities, the government </w:t>
      </w:r>
      <w:r w:rsidR="006D2EAA">
        <w:rPr>
          <w:rFonts w:ascii="Times New Roman" w:eastAsia="標楷體" w:hAnsi="Times New Roman" w:cs="Times New Roman"/>
        </w:rPr>
        <w:t xml:space="preserve">created the </w:t>
      </w:r>
      <w:r w:rsidRPr="00885A57">
        <w:rPr>
          <w:rFonts w:ascii="Times New Roman" w:eastAsia="標楷體" w:hAnsi="Times New Roman" w:cs="Times New Roman"/>
        </w:rPr>
        <w:t xml:space="preserve">119 emergency app in 2020, which allows users to send text messages to the 119 emergency center. Furthermore, the app enables cellphone buttons to flash and </w:t>
      </w:r>
      <w:r w:rsidR="006D2EAA">
        <w:rPr>
          <w:rFonts w:ascii="Times New Roman" w:eastAsia="標楷體" w:hAnsi="Times New Roman" w:cs="Times New Roman"/>
        </w:rPr>
        <w:t xml:space="preserve">helps </w:t>
      </w:r>
      <w:r w:rsidRPr="00885A57">
        <w:rPr>
          <w:rFonts w:ascii="Times New Roman" w:eastAsia="標楷體" w:hAnsi="Times New Roman" w:cs="Times New Roman"/>
        </w:rPr>
        <w:t xml:space="preserve">people with hearing (speech and language) and visual impairment make emergency calls. Icons for emergency call shortcuts are intuitive (e.g., icons </w:t>
      </w:r>
      <w:r w:rsidR="006D2EAA">
        <w:rPr>
          <w:rFonts w:ascii="Times New Roman" w:eastAsia="標楷體" w:hAnsi="Times New Roman" w:cs="Times New Roman"/>
        </w:rPr>
        <w:t xml:space="preserve">of a </w:t>
      </w:r>
      <w:r w:rsidRPr="00885A57">
        <w:rPr>
          <w:rFonts w:ascii="Times New Roman" w:eastAsia="標楷體" w:hAnsi="Times New Roman" w:cs="Times New Roman"/>
        </w:rPr>
        <w:t xml:space="preserve">fire and </w:t>
      </w:r>
      <w:r w:rsidR="006D2EAA">
        <w:rPr>
          <w:rFonts w:ascii="Times New Roman" w:eastAsia="標楷體" w:hAnsi="Times New Roman" w:cs="Times New Roman"/>
        </w:rPr>
        <w:t xml:space="preserve">of an </w:t>
      </w:r>
      <w:r w:rsidRPr="00885A57">
        <w:rPr>
          <w:rFonts w:ascii="Times New Roman" w:eastAsia="標楷體" w:hAnsi="Times New Roman" w:cs="Times New Roman"/>
        </w:rPr>
        <w:t xml:space="preserve">ambulance), enabling individuals with dementia or intellectual disabilities </w:t>
      </w:r>
      <w:r w:rsidR="006D2EAA">
        <w:rPr>
          <w:rFonts w:ascii="Times New Roman" w:eastAsia="標楷體" w:hAnsi="Times New Roman" w:cs="Times New Roman"/>
        </w:rPr>
        <w:t>t</w:t>
      </w:r>
      <w:r w:rsidRPr="00885A57">
        <w:rPr>
          <w:rFonts w:ascii="Times New Roman" w:eastAsia="標楷體" w:hAnsi="Times New Roman" w:cs="Times New Roman"/>
        </w:rPr>
        <w:t xml:space="preserve">o use the app. In 2019, the government designed images for earthquake drill practices and posters for people relying on crutches, </w:t>
      </w:r>
      <w:r w:rsidR="00672432" w:rsidRPr="00885A57">
        <w:rPr>
          <w:rFonts w:ascii="Times New Roman" w:eastAsia="標楷體" w:hAnsi="Times New Roman" w:cs="Times New Roman"/>
        </w:rPr>
        <w:t>assistive technologies</w:t>
      </w:r>
      <w:r w:rsidRPr="00885A57">
        <w:rPr>
          <w:rFonts w:ascii="Times New Roman" w:eastAsia="標楷體" w:hAnsi="Times New Roman" w:cs="Times New Roman"/>
        </w:rPr>
        <w:t>, or wheelchairs to serve as a reference for people with disabilities.</w:t>
      </w:r>
    </w:p>
    <w:p w14:paraId="2712B44E" w14:textId="7AF111A1" w:rsidR="008879DE" w:rsidRPr="00885A57" w:rsidRDefault="0066443A" w:rsidP="001A2139">
      <w:pPr>
        <w:numPr>
          <w:ilvl w:val="1"/>
          <w:numId w:val="9"/>
        </w:numPr>
        <w:spacing w:after="120" w:line="360" w:lineRule="auto"/>
        <w:jc w:val="both"/>
        <w:rPr>
          <w:rFonts w:ascii="Times New Roman" w:eastAsia="標楷體" w:hAnsi="Times New Roman" w:cs="Times New Roman"/>
          <w:szCs w:val="24"/>
        </w:rPr>
      </w:pPr>
      <w:r w:rsidRPr="00885A57">
        <w:rPr>
          <w:rFonts w:ascii="Times New Roman" w:eastAsia="標楷體" w:hAnsi="Times New Roman" w:cs="Times New Roman"/>
        </w:rPr>
        <w:lastRenderedPageBreak/>
        <w:t xml:space="preserve">During the COVID-19 pandemic, the MOHW has been posting news releases, leaflets, and videos on mass media and social media such as Facebook, LINE, and Instagram to notify the public of the current pandemic status and epidemic prevention measures. The MOHW has also established the 1922 hotline for epidemic prevention and the Disease Control Butler, a chatbot on the LINE platform (available for real-time responses) for </w:t>
      </w:r>
      <w:r w:rsidR="00672432" w:rsidRPr="00885A57">
        <w:rPr>
          <w:rFonts w:ascii="Times New Roman" w:eastAsia="標楷體" w:hAnsi="Times New Roman" w:cs="Times New Roman"/>
        </w:rPr>
        <w:t>people with</w:t>
      </w:r>
      <w:r w:rsidRPr="00885A57">
        <w:rPr>
          <w:rFonts w:ascii="Times New Roman" w:eastAsia="標楷體" w:hAnsi="Times New Roman" w:cs="Times New Roman"/>
        </w:rPr>
        <w:t xml:space="preserve"> hearing, speech, or language impairment</w:t>
      </w:r>
      <w:r w:rsidR="00945A4A">
        <w:rPr>
          <w:rFonts w:ascii="Times New Roman" w:eastAsia="標楷體" w:hAnsi="Times New Roman" w:cs="Times New Roman"/>
        </w:rPr>
        <w:t>s</w:t>
      </w:r>
      <w:r w:rsidRPr="00885A57">
        <w:rPr>
          <w:rFonts w:ascii="Times New Roman" w:eastAsia="標楷體" w:hAnsi="Times New Roman" w:cs="Times New Roman"/>
        </w:rPr>
        <w:t xml:space="preserve"> to inquire about epidemic-related information. For people with hearing, speech, or language impairment who </w:t>
      </w:r>
      <w:r w:rsidR="00672432" w:rsidRPr="00885A57">
        <w:rPr>
          <w:rFonts w:ascii="Times New Roman" w:eastAsia="標楷體" w:hAnsi="Times New Roman" w:cs="Times New Roman"/>
        </w:rPr>
        <w:t>undergo home</w:t>
      </w:r>
      <w:r w:rsidRPr="00885A57">
        <w:rPr>
          <w:rFonts w:ascii="Times New Roman" w:eastAsia="標楷體" w:hAnsi="Times New Roman" w:cs="Times New Roman"/>
        </w:rPr>
        <w:t xml:space="preserve"> isolation, local governments contact them using flexible approaches such as the LINE Bot, Health Reporting E-System, and two-way messaging.</w:t>
      </w:r>
      <w:bookmarkStart w:id="82" w:name="_Toc450120809"/>
      <w:bookmarkStart w:id="83" w:name="_Toc455655460"/>
      <w:bookmarkStart w:id="84" w:name="_Toc456079626"/>
      <w:bookmarkStart w:id="85" w:name="_Toc465173710"/>
      <w:bookmarkStart w:id="86" w:name="_Toc467171965"/>
      <w:bookmarkStart w:id="87" w:name="_Toc24010370"/>
      <w:bookmarkStart w:id="88" w:name="_Toc24705349"/>
    </w:p>
    <w:p w14:paraId="28811D69" w14:textId="79CE59F6" w:rsidR="0018579B" w:rsidRPr="00885A57" w:rsidRDefault="006D504C" w:rsidP="00BF7DB0">
      <w:pPr>
        <w:pStyle w:val="10"/>
        <w:spacing w:after="120" w:line="360" w:lineRule="auto"/>
        <w:rPr>
          <w:rFonts w:ascii="Times New Roman" w:hAnsi="Times New Roman"/>
        </w:rPr>
      </w:pPr>
      <w:bookmarkStart w:id="89" w:name="_Toc73108681"/>
      <w:r w:rsidRPr="00885A57">
        <w:rPr>
          <w:rFonts w:ascii="Times New Roman" w:hAnsi="Times New Roman"/>
        </w:rPr>
        <w:t>Article 12</w:t>
      </w:r>
      <w:bookmarkStart w:id="90" w:name="_Toc55900580"/>
      <w:r w:rsidR="00B645D5" w:rsidRPr="00885A57">
        <w:rPr>
          <w:rFonts w:ascii="Times New Roman" w:hAnsi="Times New Roman"/>
        </w:rPr>
        <w:t xml:space="preserve">: </w:t>
      </w:r>
      <w:r w:rsidRPr="00885A57">
        <w:rPr>
          <w:rFonts w:ascii="Times New Roman" w:hAnsi="Times New Roman"/>
        </w:rPr>
        <w:t>Equal recognition before the law</w:t>
      </w:r>
      <w:bookmarkEnd w:id="89"/>
      <w:bookmarkEnd w:id="90"/>
    </w:p>
    <w:p w14:paraId="75112000" w14:textId="40C342FD" w:rsidR="001816A1" w:rsidRPr="00885A57" w:rsidRDefault="0066443A"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91" w:name="_Ref55909212"/>
      <w:r w:rsidRPr="00885A57">
        <w:rPr>
          <w:rFonts w:ascii="Times New Roman" w:eastAsia="標楷體" w:hAnsi="Times New Roman" w:cs="Times New Roman"/>
          <w:szCs w:val="24"/>
        </w:rPr>
        <w:t xml:space="preserve">People with disabilities are protected by the </w:t>
      </w:r>
      <w:r w:rsidRPr="002153DE">
        <w:rPr>
          <w:rFonts w:ascii="Times New Roman" w:eastAsia="標楷體" w:hAnsi="Times New Roman" w:cs="Times New Roman"/>
          <w:iCs/>
          <w:szCs w:val="24"/>
        </w:rPr>
        <w:t>Civil Code</w:t>
      </w:r>
      <w:r w:rsidRPr="00885A57">
        <w:rPr>
          <w:rFonts w:ascii="Times New Roman" w:eastAsia="標楷體" w:hAnsi="Times New Roman" w:cs="Times New Roman"/>
          <w:szCs w:val="24"/>
        </w:rPr>
        <w:t xml:space="preserve"> and have legal capacity the same as </w:t>
      </w:r>
      <w:r w:rsidR="00945A4A">
        <w:rPr>
          <w:rFonts w:ascii="Times New Roman" w:eastAsia="標楷體" w:hAnsi="Times New Roman" w:cs="Times New Roman"/>
          <w:szCs w:val="24"/>
        </w:rPr>
        <w:t xml:space="preserve">other </w:t>
      </w:r>
      <w:r w:rsidRPr="00885A57">
        <w:rPr>
          <w:rFonts w:ascii="Times New Roman" w:eastAsia="標楷體" w:hAnsi="Times New Roman" w:cs="Times New Roman"/>
          <w:szCs w:val="24"/>
        </w:rPr>
        <w:t xml:space="preserve">persons. The </w:t>
      </w:r>
      <w:r w:rsidRPr="002153DE">
        <w:rPr>
          <w:rFonts w:ascii="Times New Roman" w:eastAsia="標楷體" w:hAnsi="Times New Roman" w:cs="Times New Roman"/>
          <w:iCs/>
          <w:szCs w:val="24"/>
        </w:rPr>
        <w:t>Civil Code</w:t>
      </w:r>
      <w:r w:rsidRPr="00885A57">
        <w:rPr>
          <w:rFonts w:ascii="Times New Roman" w:eastAsia="標楷體" w:hAnsi="Times New Roman" w:cs="Times New Roman"/>
          <w:szCs w:val="24"/>
        </w:rPr>
        <w:t xml:space="preserve"> provides </w:t>
      </w:r>
      <w:r w:rsidR="00945A4A">
        <w:rPr>
          <w:rFonts w:ascii="Times New Roman" w:eastAsia="標楷體" w:hAnsi="Times New Roman" w:cs="Times New Roman"/>
          <w:szCs w:val="24"/>
        </w:rPr>
        <w:t xml:space="preserve">for </w:t>
      </w:r>
      <w:r w:rsidRPr="00885A57">
        <w:rPr>
          <w:rFonts w:ascii="Times New Roman" w:eastAsia="標楷體" w:hAnsi="Times New Roman" w:cs="Times New Roman"/>
          <w:szCs w:val="24"/>
        </w:rPr>
        <w:t xml:space="preserve">the commencement of </w:t>
      </w:r>
      <w:r w:rsidR="00945A4A">
        <w:rPr>
          <w:rFonts w:ascii="Times New Roman" w:eastAsia="標楷體" w:hAnsi="Times New Roman" w:cs="Times New Roman"/>
          <w:szCs w:val="24"/>
        </w:rPr>
        <w:t xml:space="preserve">a </w:t>
      </w:r>
      <w:r w:rsidRPr="00885A57">
        <w:rPr>
          <w:rFonts w:ascii="Times New Roman" w:eastAsia="標楷體" w:hAnsi="Times New Roman" w:cs="Times New Roman"/>
          <w:szCs w:val="24"/>
        </w:rPr>
        <w:t xml:space="preserve">guardianship system to protect individuals who cannot make declaration of intention, receive declaration of intention, or who lacks the ability to discern the outcome of the declaration of intention due to mental disability. The </w:t>
      </w:r>
      <w:r w:rsidRPr="002153DE">
        <w:rPr>
          <w:rFonts w:ascii="Times New Roman" w:eastAsia="標楷體" w:hAnsi="Times New Roman" w:cs="Times New Roman"/>
          <w:iCs/>
          <w:szCs w:val="24"/>
        </w:rPr>
        <w:t>Civil Code</w:t>
      </w:r>
      <w:r w:rsidRPr="00885A57">
        <w:rPr>
          <w:rFonts w:ascii="Times New Roman" w:eastAsia="標楷體" w:hAnsi="Times New Roman" w:cs="Times New Roman"/>
          <w:szCs w:val="24"/>
        </w:rPr>
        <w:t xml:space="preserve"> also establishes </w:t>
      </w:r>
      <w:r w:rsidR="00AB678D">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assistance system to protect people who have insufficient capacity to make declaration of intention, receive declaration of intention, or who lack the ability to discern the outcome of the declaration of intention due to mental disability. This prevents such people from taking on legal </w:t>
      </w:r>
      <w:r w:rsidR="00AB678D">
        <w:rPr>
          <w:rFonts w:ascii="Times New Roman" w:eastAsia="標楷體" w:hAnsi="Times New Roman" w:cs="Times New Roman"/>
          <w:szCs w:val="24"/>
        </w:rPr>
        <w:t xml:space="preserve">obligations </w:t>
      </w:r>
      <w:r w:rsidRPr="00885A57">
        <w:rPr>
          <w:rFonts w:ascii="Times New Roman" w:eastAsia="標楷體" w:hAnsi="Times New Roman" w:cs="Times New Roman"/>
          <w:szCs w:val="24"/>
        </w:rPr>
        <w:t xml:space="preserve">due to poor physical and mental health. Pursuant to the </w:t>
      </w:r>
      <w:r w:rsidRPr="002153DE">
        <w:rPr>
          <w:rFonts w:ascii="Times New Roman" w:eastAsia="標楷體" w:hAnsi="Times New Roman" w:cs="Times New Roman"/>
          <w:iCs/>
          <w:szCs w:val="24"/>
        </w:rPr>
        <w:t>Civil Code</w:t>
      </w:r>
      <w:r w:rsidRPr="00885A57">
        <w:rPr>
          <w:rFonts w:ascii="Times New Roman" w:eastAsia="標楷體" w:hAnsi="Times New Roman" w:cs="Times New Roman"/>
          <w:szCs w:val="24"/>
        </w:rPr>
        <w:t xml:space="preserve">, when electing guardians, for the best interest of the ward, the court shall first take the ward’s </w:t>
      </w:r>
      <w:r w:rsidRPr="00885A57">
        <w:rPr>
          <w:rFonts w:ascii="Times New Roman" w:eastAsia="標楷體" w:hAnsi="Times New Roman" w:cs="Times New Roman"/>
          <w:szCs w:val="24"/>
        </w:rPr>
        <w:lastRenderedPageBreak/>
        <w:t xml:space="preserve">opinion and every other things into consideration. The </w:t>
      </w:r>
      <w:r w:rsidRPr="002153DE">
        <w:rPr>
          <w:rFonts w:ascii="Times New Roman" w:eastAsia="標楷體" w:hAnsi="Times New Roman" w:cs="Times New Roman"/>
          <w:iCs/>
          <w:szCs w:val="24"/>
        </w:rPr>
        <w:t>Civil Code</w:t>
      </w:r>
      <w:r w:rsidRPr="00885A57">
        <w:rPr>
          <w:rFonts w:ascii="Times New Roman" w:eastAsia="標楷體" w:hAnsi="Times New Roman" w:cs="Times New Roman"/>
          <w:szCs w:val="24"/>
        </w:rPr>
        <w:t xml:space="preserve"> specifies that when enforcing guardianship relating the ward’s life, treatment, and financial management, the guardian shall respect the ward’s intent following the order of commencement of guardianship. The aforementioned regulations fulfill the spirit of supported </w:t>
      </w:r>
      <w:r w:rsidR="002F0020" w:rsidRPr="00885A57">
        <w:rPr>
          <w:rFonts w:ascii="Times New Roman" w:eastAsia="標楷體" w:hAnsi="Times New Roman" w:cs="Times New Roman"/>
          <w:szCs w:val="24"/>
        </w:rPr>
        <w:t>decision-making</w:t>
      </w:r>
      <w:r w:rsidRPr="00885A57">
        <w:rPr>
          <w:rFonts w:ascii="Times New Roman" w:eastAsia="標楷體" w:hAnsi="Times New Roman" w:cs="Times New Roman"/>
          <w:szCs w:val="24"/>
        </w:rPr>
        <w:t xml:space="preserve"> and respect individual rights, will, and choices as required under the CRPD. For the number of cases on commencement of guardianship </w:t>
      </w:r>
      <w:r w:rsidR="00342D82">
        <w:rPr>
          <w:rFonts w:ascii="Times New Roman" w:eastAsia="標楷體" w:hAnsi="Times New Roman" w:cs="Times New Roman"/>
          <w:szCs w:val="24"/>
        </w:rPr>
        <w:t>or</w:t>
      </w:r>
      <w:r w:rsidRPr="00885A57">
        <w:rPr>
          <w:rFonts w:ascii="Times New Roman" w:eastAsia="標楷體" w:hAnsi="Times New Roman" w:cs="Times New Roman"/>
          <w:szCs w:val="24"/>
        </w:rPr>
        <w:t xml:space="preserve"> assistance in </w:t>
      </w:r>
      <w:r w:rsidR="00FC1FDD">
        <w:rPr>
          <w:rFonts w:ascii="Times New Roman" w:eastAsia="標楷體" w:hAnsi="Times New Roman" w:cs="Times New Roman"/>
          <w:szCs w:val="24"/>
        </w:rPr>
        <w:t xml:space="preserve">the period </w:t>
      </w:r>
      <w:r w:rsidRPr="00885A57">
        <w:rPr>
          <w:rFonts w:ascii="Times New Roman" w:eastAsia="標楷體" w:hAnsi="Times New Roman" w:cs="Times New Roman"/>
          <w:szCs w:val="24"/>
        </w:rPr>
        <w:t>2016</w:t>
      </w:r>
      <w:r w:rsidR="00FC1FDD">
        <w:rPr>
          <w:rFonts w:ascii="Times New Roman" w:eastAsia="標楷體" w:hAnsi="Times New Roman" w:cs="Times New Roman"/>
          <w:szCs w:val="24"/>
        </w:rPr>
        <w:t>-</w:t>
      </w:r>
      <w:r w:rsidRPr="00885A57">
        <w:rPr>
          <w:rFonts w:ascii="Times New Roman" w:eastAsia="標楷體" w:hAnsi="Times New Roman" w:cs="Times New Roman"/>
          <w:szCs w:val="24"/>
        </w:rPr>
        <w:t>2019, please refer to Table 12.1.</w:t>
      </w:r>
      <w:bookmarkEnd w:id="91"/>
      <w:r w:rsidRPr="00885A57">
        <w:rPr>
          <w:rFonts w:ascii="Times New Roman" w:eastAsia="標楷體" w:hAnsi="Times New Roman" w:cs="Times New Roman"/>
          <w:vertAlign w:val="superscript"/>
        </w:rPr>
        <w:footnoteReference w:id="55"/>
      </w:r>
    </w:p>
    <w:p w14:paraId="4BABFEF7" w14:textId="14B23F44" w:rsidR="00520D1E" w:rsidRPr="00885A57" w:rsidRDefault="0066443A" w:rsidP="00BF7DB0">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In 2019, the adult guardianship by agreement system was added to the </w:t>
      </w:r>
      <w:r w:rsidRPr="002153DE">
        <w:rPr>
          <w:rFonts w:ascii="Times New Roman" w:eastAsia="標楷體" w:hAnsi="Times New Roman" w:cs="Times New Roman"/>
          <w:iCs/>
          <w:szCs w:val="24"/>
        </w:rPr>
        <w:t>Civil Code</w:t>
      </w:r>
      <w:r w:rsidRPr="00885A57">
        <w:rPr>
          <w:rFonts w:ascii="Times New Roman" w:eastAsia="標楷體" w:hAnsi="Times New Roman" w:cs="Times New Roman"/>
          <w:szCs w:val="24"/>
        </w:rPr>
        <w:t xml:space="preserve">, allowing </w:t>
      </w:r>
      <w:r w:rsidR="00A04192">
        <w:rPr>
          <w:rFonts w:ascii="Times New Roman" w:eastAsia="標楷體" w:hAnsi="Times New Roman" w:cs="Times New Roman"/>
          <w:kern w:val="0"/>
          <w:szCs w:val="24"/>
        </w:rPr>
        <w:t>people concerned</w:t>
      </w:r>
      <w:r w:rsidR="00A04192">
        <w:rPr>
          <w:rFonts w:ascii="Times New Roman" w:eastAsia="標楷體" w:hAnsi="Times New Roman" w:cs="Times New Roman"/>
          <w:szCs w:val="24"/>
        </w:rPr>
        <w:t xml:space="preserve"> who</w:t>
      </w:r>
      <w:r w:rsidR="00A04192"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still </w:t>
      </w:r>
      <w:r w:rsidR="00A04192" w:rsidRPr="00885A57">
        <w:rPr>
          <w:rFonts w:ascii="Times New Roman" w:eastAsia="標楷體" w:hAnsi="Times New Roman" w:cs="Times New Roman"/>
          <w:szCs w:val="24"/>
        </w:rPr>
        <w:t>hav</w:t>
      </w:r>
      <w:r w:rsidR="00A04192">
        <w:rPr>
          <w:rFonts w:ascii="Times New Roman" w:eastAsia="標楷體" w:hAnsi="Times New Roman" w:cs="Times New Roman"/>
          <w:szCs w:val="24"/>
        </w:rPr>
        <w:t>e</w:t>
      </w:r>
      <w:r w:rsidR="00A04192"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mental capacity to </w:t>
      </w:r>
      <w:r w:rsidR="00FC1FDD">
        <w:rPr>
          <w:rFonts w:ascii="Times New Roman" w:eastAsia="標楷體" w:hAnsi="Times New Roman" w:cs="Times New Roman"/>
          <w:szCs w:val="24"/>
        </w:rPr>
        <w:t xml:space="preserve">draft </w:t>
      </w:r>
      <w:r w:rsidRPr="00885A57">
        <w:rPr>
          <w:rFonts w:ascii="Times New Roman" w:eastAsia="標楷體" w:hAnsi="Times New Roman" w:cs="Times New Roman"/>
          <w:szCs w:val="24"/>
        </w:rPr>
        <w:t xml:space="preserve">an agreement with an agent and to name the agent as the person’s guardian upon the commencement of guardianship instead of waiting for the court to </w:t>
      </w:r>
      <w:r w:rsidR="00A04192">
        <w:rPr>
          <w:rFonts w:ascii="Times New Roman" w:eastAsia="標楷體" w:hAnsi="Times New Roman" w:cs="Times New Roman"/>
          <w:szCs w:val="24"/>
        </w:rPr>
        <w:t>s</w:t>
      </w:r>
      <w:r w:rsidRPr="00885A57">
        <w:rPr>
          <w:rFonts w:ascii="Times New Roman" w:hAnsi="Times New Roman" w:cs="Times New Roman"/>
          <w:szCs w:val="24"/>
        </w:rPr>
        <w:t>elect</w:t>
      </w:r>
      <w:r w:rsidRPr="00885A57">
        <w:rPr>
          <w:rFonts w:ascii="Times New Roman" w:eastAsia="標楷體" w:hAnsi="Times New Roman" w:cs="Times New Roman"/>
          <w:szCs w:val="24"/>
        </w:rPr>
        <w:t xml:space="preserve"> a guardian in accordance with its responsibilities; should said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lose </w:t>
      </w:r>
      <w:r w:rsidR="00A04192">
        <w:rPr>
          <w:rFonts w:ascii="Times New Roman" w:eastAsia="標楷體" w:hAnsi="Times New Roman" w:cs="Times New Roman"/>
          <w:szCs w:val="24"/>
        </w:rPr>
        <w:t xml:space="preserve">their </w:t>
      </w:r>
      <w:r w:rsidRPr="00885A57">
        <w:rPr>
          <w:rFonts w:ascii="Times New Roman" w:eastAsia="標楷體" w:hAnsi="Times New Roman" w:cs="Times New Roman"/>
          <w:szCs w:val="24"/>
        </w:rPr>
        <w:t xml:space="preserve">mental capacity, a guardian can still be appointed at the person’s discretion according to the decision made before they </w:t>
      </w:r>
      <w:r w:rsidR="00A04192" w:rsidRPr="00885A57">
        <w:rPr>
          <w:rFonts w:ascii="Times New Roman" w:eastAsia="標楷體" w:hAnsi="Times New Roman" w:cs="Times New Roman"/>
          <w:szCs w:val="24"/>
        </w:rPr>
        <w:t>los</w:t>
      </w:r>
      <w:r w:rsidR="00A04192">
        <w:rPr>
          <w:rFonts w:ascii="Times New Roman" w:eastAsia="標楷體" w:hAnsi="Times New Roman" w:cs="Times New Roman"/>
          <w:szCs w:val="24"/>
        </w:rPr>
        <w:t>t</w:t>
      </w:r>
      <w:r w:rsidR="00A04192"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mental capacity. According to their will and preferences, the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may appoint a guardian and decide the guardian’s power</w:t>
      </w:r>
      <w:r w:rsidR="00611BE8">
        <w:rPr>
          <w:rFonts w:ascii="Times New Roman" w:eastAsia="標楷體" w:hAnsi="Times New Roman" w:cs="Times New Roman"/>
          <w:szCs w:val="24"/>
        </w:rPr>
        <w:t>s</w:t>
      </w:r>
      <w:r w:rsidRPr="00885A57">
        <w:rPr>
          <w:rFonts w:ascii="Times New Roman" w:eastAsia="標楷體" w:hAnsi="Times New Roman" w:cs="Times New Roman"/>
          <w:szCs w:val="24"/>
        </w:rPr>
        <w:t xml:space="preserve"> and methods when handling relevant matters, all of which can be prewritten in the adult guardianship agreement; this system respects personal will, choices, and human dignity.</w:t>
      </w:r>
    </w:p>
    <w:p w14:paraId="4A36C2DB" w14:textId="4C3888EF" w:rsidR="006F05D6" w:rsidRPr="00885A57" w:rsidRDefault="0066443A" w:rsidP="003F531D">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government has promulgated the </w:t>
      </w:r>
      <w:r w:rsidRPr="002153DE">
        <w:rPr>
          <w:rFonts w:ascii="Times New Roman" w:eastAsia="標楷體" w:hAnsi="Times New Roman" w:cs="Times New Roman"/>
          <w:iCs/>
          <w:szCs w:val="24"/>
        </w:rPr>
        <w:t>Precautionary Matters on Handling Adult Guardianship or Assistance by Municipality or County (City) Competent Authorities</w:t>
      </w:r>
      <w:r w:rsidRPr="00885A57">
        <w:rPr>
          <w:rFonts w:ascii="Times New Roman" w:eastAsia="標楷體" w:hAnsi="Times New Roman" w:cs="Times New Roman"/>
          <w:szCs w:val="24"/>
        </w:rPr>
        <w:t xml:space="preserve"> and the </w:t>
      </w:r>
      <w:r w:rsidRPr="002153DE">
        <w:rPr>
          <w:rFonts w:ascii="Times New Roman" w:eastAsia="標楷體" w:hAnsi="Times New Roman" w:cs="Times New Roman"/>
          <w:iCs/>
          <w:szCs w:val="24"/>
        </w:rPr>
        <w:t xml:space="preserve">Regulations Governing Social Welfare Institutions in </w:t>
      </w:r>
      <w:r w:rsidRPr="002153DE">
        <w:rPr>
          <w:rFonts w:ascii="Times New Roman" w:eastAsia="標楷體" w:hAnsi="Times New Roman" w:cs="Times New Roman"/>
          <w:iCs/>
          <w:szCs w:val="24"/>
        </w:rPr>
        <w:lastRenderedPageBreak/>
        <w:t xml:space="preserve">Handling Guardianship Matters for </w:t>
      </w:r>
      <w:r w:rsidRPr="002153DE">
        <w:rPr>
          <w:rFonts w:ascii="Times New Roman" w:eastAsia="標楷體" w:hAnsi="Times New Roman" w:cs="Times New Roman"/>
          <w:iCs/>
          <w:kern w:val="0"/>
          <w:szCs w:val="24"/>
        </w:rPr>
        <w:t>People</w:t>
      </w:r>
      <w:r w:rsidRPr="002153DE">
        <w:rPr>
          <w:rFonts w:ascii="Times New Roman" w:eastAsia="標楷體" w:hAnsi="Times New Roman" w:cs="Times New Roman"/>
          <w:iCs/>
          <w:szCs w:val="24"/>
        </w:rPr>
        <w:t xml:space="preserve"> with Disabilities</w:t>
      </w:r>
      <w:r w:rsidRPr="00885A57">
        <w:rPr>
          <w:rFonts w:ascii="Times New Roman" w:eastAsia="標楷體" w:hAnsi="Times New Roman" w:cs="Times New Roman"/>
          <w:szCs w:val="24"/>
        </w:rPr>
        <w:t xml:space="preserve">. The two regulations specify precautionary matters to be considered by competent authorities and social welfare institutions if appointed as the guardian or assistant of </w:t>
      </w:r>
      <w:r w:rsidR="00611BE8">
        <w:rPr>
          <w:rFonts w:ascii="Times New Roman" w:eastAsia="標楷體" w:hAnsi="Times New Roman" w:cs="Times New Roman"/>
          <w:szCs w:val="24"/>
        </w:rPr>
        <w:t xml:space="preserve">a person </w:t>
      </w:r>
      <w:r w:rsidRPr="00885A57">
        <w:rPr>
          <w:rFonts w:ascii="Times New Roman" w:eastAsia="標楷體" w:hAnsi="Times New Roman" w:cs="Times New Roman"/>
          <w:szCs w:val="24"/>
        </w:rPr>
        <w:t xml:space="preserve">with disabilities; the intention is </w:t>
      </w:r>
      <w:r w:rsidR="00FC1FDD">
        <w:rPr>
          <w:rFonts w:ascii="Times New Roman" w:eastAsia="標楷體" w:hAnsi="Times New Roman" w:cs="Times New Roman"/>
          <w:szCs w:val="24"/>
        </w:rPr>
        <w:t>to safeguard</w:t>
      </w:r>
      <w:r w:rsidR="00FC1FDD"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the person’s rights and quality of life. To mitigate </w:t>
      </w:r>
      <w:r w:rsidR="00611BE8">
        <w:rPr>
          <w:rFonts w:ascii="Times New Roman" w:eastAsia="標楷體" w:hAnsi="Times New Roman" w:cs="Times New Roman"/>
          <w:szCs w:val="24"/>
        </w:rPr>
        <w:t>the burden on citizens</w:t>
      </w:r>
      <w:r w:rsidRPr="00885A57">
        <w:rPr>
          <w:rFonts w:ascii="Times New Roman" w:eastAsia="標楷體" w:hAnsi="Times New Roman" w:cs="Times New Roman"/>
          <w:szCs w:val="24"/>
        </w:rPr>
        <w:t xml:space="preserve">, local governments subsidize the </w:t>
      </w:r>
      <w:r w:rsidR="00841123">
        <w:rPr>
          <w:rFonts w:ascii="Times New Roman" w:eastAsia="標楷體" w:hAnsi="Times New Roman" w:cs="Times New Roman"/>
          <w:szCs w:val="24"/>
        </w:rPr>
        <w:t>assessment</w:t>
      </w:r>
      <w:r w:rsidRPr="00885A57">
        <w:rPr>
          <w:rFonts w:ascii="Times New Roman" w:eastAsia="標楷體" w:hAnsi="Times New Roman" w:cs="Times New Roman"/>
          <w:szCs w:val="24"/>
        </w:rPr>
        <w:t xml:space="preserve"> of guardianship or assistance declaration. Workshops on adult guardianship and assistance declaration have been organized in four counties/cities as a pilot project, aiming to improve the competencies of guardians and assistants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In 2020, the government published guardianship declaration handbooks and </w:t>
      </w:r>
      <w:r w:rsidR="00931A86">
        <w:rPr>
          <w:rFonts w:ascii="Times New Roman" w:eastAsia="標楷體" w:hAnsi="Times New Roman" w:cs="Times New Roman"/>
          <w:szCs w:val="24"/>
        </w:rPr>
        <w:t>easy-to-read</w:t>
      </w:r>
      <w:r w:rsidRPr="00885A57">
        <w:rPr>
          <w:rFonts w:ascii="Times New Roman" w:eastAsia="標楷體" w:hAnsi="Times New Roman" w:cs="Times New Roman"/>
          <w:szCs w:val="24"/>
        </w:rPr>
        <w:t xml:space="preserve"> promotional materials for the public.</w:t>
      </w:r>
    </w:p>
    <w:p w14:paraId="76B8FE35" w14:textId="1B2BEEA0" w:rsidR="00A64045" w:rsidRPr="00885A57" w:rsidRDefault="00EF7C2F"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safeguard the rights to medical information, choices, and decisions for patients, the </w:t>
      </w:r>
      <w:r w:rsidRPr="002153DE">
        <w:rPr>
          <w:rFonts w:ascii="Times New Roman" w:eastAsia="標楷體" w:hAnsi="Times New Roman" w:cs="Times New Roman"/>
          <w:iCs/>
          <w:szCs w:val="24"/>
        </w:rPr>
        <w:t>Medical Care Act</w:t>
      </w:r>
      <w:r w:rsidRPr="00885A57">
        <w:rPr>
          <w:rFonts w:ascii="Times New Roman" w:eastAsia="標楷體" w:hAnsi="Times New Roman" w:cs="Times New Roman"/>
          <w:szCs w:val="24"/>
        </w:rPr>
        <w:t xml:space="preserve"> regulates that medical staff of medical institutions shall notify the patient in question</w:t>
      </w:r>
      <w:r w:rsidRPr="00885A57">
        <w:rPr>
          <w:rFonts w:ascii="Times New Roman" w:hAnsi="Times New Roman" w:cs="Times New Roman"/>
          <w:szCs w:val="24"/>
        </w:rPr>
        <w:t xml:space="preserve"> </w:t>
      </w:r>
      <w:r w:rsidRPr="00885A57">
        <w:rPr>
          <w:rFonts w:ascii="Times New Roman" w:eastAsia="標楷體" w:hAnsi="Times New Roman" w:cs="Times New Roman"/>
          <w:szCs w:val="24"/>
        </w:rPr>
        <w:t>before a surgical procedure.</w:t>
      </w:r>
      <w:r w:rsidR="00AF4FC2" w:rsidRPr="00885A57">
        <w:rPr>
          <w:rStyle w:val="ab"/>
          <w:rFonts w:ascii="Times New Roman" w:eastAsia="標楷體" w:hAnsi="Times New Roman" w:cs="Times New Roman"/>
        </w:rPr>
        <w:footnoteReference w:id="56"/>
      </w:r>
      <w:r w:rsidRPr="00885A57">
        <w:rPr>
          <w:rFonts w:ascii="Times New Roman" w:eastAsia="標楷體" w:hAnsi="Times New Roman" w:cs="Times New Roman"/>
          <w:szCs w:val="24"/>
        </w:rPr>
        <w:t xml:space="preserve"> In 2016, the government enacted the </w:t>
      </w:r>
      <w:r w:rsidRPr="002153DE">
        <w:rPr>
          <w:rFonts w:ascii="Times New Roman" w:eastAsia="標楷體" w:hAnsi="Times New Roman" w:cs="Times New Roman"/>
          <w:iCs/>
          <w:szCs w:val="24"/>
        </w:rPr>
        <w:t>Patient Right to Autonomy Act</w:t>
      </w:r>
      <w:r w:rsidRPr="00885A57">
        <w:rPr>
          <w:rFonts w:ascii="Times New Roman" w:eastAsia="標楷體" w:hAnsi="Times New Roman" w:cs="Times New Roman"/>
          <w:szCs w:val="24"/>
        </w:rPr>
        <w:t xml:space="preserve">, which </w:t>
      </w:r>
      <w:r w:rsidR="00611BE8">
        <w:rPr>
          <w:rFonts w:ascii="Times New Roman" w:eastAsia="標楷體" w:hAnsi="Times New Roman" w:cs="Times New Roman"/>
          <w:szCs w:val="24"/>
        </w:rPr>
        <w:t xml:space="preserve">took effect in 2019 and allows </w:t>
      </w:r>
      <w:r w:rsidRPr="00885A57">
        <w:rPr>
          <w:rFonts w:ascii="Times New Roman" w:eastAsia="標楷體" w:hAnsi="Times New Roman" w:cs="Times New Roman"/>
          <w:szCs w:val="24"/>
        </w:rPr>
        <w:t xml:space="preserve">a declarant with total legal </w:t>
      </w:r>
      <w:r w:rsidR="00131E89" w:rsidRPr="00131E89">
        <w:rPr>
          <w:rFonts w:ascii="Times New Roman" w:eastAsia="標楷體" w:hAnsi="Times New Roman" w:cs="Times New Roman"/>
          <w:szCs w:val="24"/>
        </w:rPr>
        <w:t xml:space="preserve">agency </w:t>
      </w:r>
      <w:r w:rsidRPr="00885A57">
        <w:rPr>
          <w:rFonts w:ascii="Times New Roman" w:eastAsia="標楷體" w:hAnsi="Times New Roman" w:cs="Times New Roman"/>
          <w:szCs w:val="24"/>
        </w:rPr>
        <w:t>to accept or refuse medical treatment through advance</w:t>
      </w:r>
      <w:r w:rsidR="00FC1FDD">
        <w:rPr>
          <w:rFonts w:ascii="Times New Roman" w:eastAsia="標楷體" w:hAnsi="Times New Roman" w:cs="Times New Roman"/>
          <w:szCs w:val="24"/>
        </w:rPr>
        <w:t>d</w:t>
      </w:r>
      <w:r w:rsidRPr="00885A57">
        <w:rPr>
          <w:rFonts w:ascii="Times New Roman" w:eastAsia="標楷體" w:hAnsi="Times New Roman" w:cs="Times New Roman"/>
          <w:szCs w:val="24"/>
        </w:rPr>
        <w:t xml:space="preserve"> care planning and making advance directives; this act ensures patients’ right to a good death.</w:t>
      </w:r>
    </w:p>
    <w:p w14:paraId="105BE9C5" w14:textId="06E21A2B" w:rsidR="0018579B" w:rsidRPr="00885A57" w:rsidRDefault="006D504C" w:rsidP="003F531D">
      <w:pPr>
        <w:pStyle w:val="10"/>
        <w:spacing w:after="120" w:line="360" w:lineRule="auto"/>
        <w:rPr>
          <w:rFonts w:ascii="Times New Roman" w:hAnsi="Times New Roman"/>
        </w:rPr>
      </w:pPr>
      <w:bookmarkStart w:id="92" w:name="_Toc73108682"/>
      <w:r w:rsidRPr="00885A57">
        <w:rPr>
          <w:rFonts w:ascii="Times New Roman" w:hAnsi="Times New Roman"/>
        </w:rPr>
        <w:t>Article 13</w:t>
      </w:r>
      <w:bookmarkStart w:id="93" w:name="_Toc55900582"/>
      <w:r w:rsidR="00B645D5" w:rsidRPr="00885A57">
        <w:rPr>
          <w:rFonts w:ascii="Times New Roman" w:hAnsi="Times New Roman"/>
        </w:rPr>
        <w:t xml:space="preserve">: </w:t>
      </w:r>
      <w:r w:rsidRPr="00885A57">
        <w:rPr>
          <w:rFonts w:ascii="Times New Roman" w:hAnsi="Times New Roman"/>
        </w:rPr>
        <w:t>Access to justice</w:t>
      </w:r>
      <w:bookmarkEnd w:id="92"/>
      <w:bookmarkEnd w:id="93"/>
    </w:p>
    <w:p w14:paraId="4669506C" w14:textId="18D753C2" w:rsidR="002D7B9B" w:rsidRPr="00885A57" w:rsidRDefault="005A63F1" w:rsidP="003F531D">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94" w:name="_Ref55909455"/>
      <w:r w:rsidRPr="00885A57">
        <w:rPr>
          <w:rFonts w:ascii="Times New Roman" w:eastAsia="標楷體" w:hAnsi="Times New Roman" w:cs="Times New Roman"/>
          <w:kern w:val="0"/>
          <w:szCs w:val="24"/>
        </w:rPr>
        <w:t xml:space="preserve">To safeguard human rights enumerated in the International Covenant on Civil and Political Rights, the International Covenant on Economic, Social and Cultural Rights, and the PDRPA, Article 99 of the </w:t>
      </w:r>
      <w:r w:rsidRPr="002153DE">
        <w:rPr>
          <w:rFonts w:ascii="Times New Roman" w:eastAsia="標楷體" w:hAnsi="Times New Roman" w:cs="Times New Roman"/>
          <w:iCs/>
          <w:kern w:val="0"/>
          <w:szCs w:val="24"/>
        </w:rPr>
        <w:t>Code of Criminal Procedure</w:t>
      </w:r>
      <w:r w:rsidRPr="00885A57">
        <w:rPr>
          <w:rFonts w:ascii="Times New Roman" w:eastAsia="標楷體" w:hAnsi="Times New Roman" w:cs="Times New Roman"/>
          <w:kern w:val="0"/>
          <w:szCs w:val="24"/>
        </w:rPr>
        <w:t xml:space="preserve"> </w:t>
      </w:r>
      <w:r w:rsidRPr="00885A57">
        <w:rPr>
          <w:rFonts w:ascii="Times New Roman" w:eastAsia="標楷體" w:hAnsi="Times New Roman" w:cs="Times New Roman"/>
          <w:kern w:val="0"/>
          <w:szCs w:val="24"/>
        </w:rPr>
        <w:lastRenderedPageBreak/>
        <w:t xml:space="preserve">was amended and </w:t>
      </w:r>
      <w:r w:rsidRPr="00885A57">
        <w:rPr>
          <w:rFonts w:ascii="Times New Roman" w:eastAsia="標楷體" w:hAnsi="Times New Roman" w:cs="Times New Roman"/>
          <w:szCs w:val="24"/>
        </w:rPr>
        <w:t>promulgated</w:t>
      </w:r>
      <w:r w:rsidRPr="00885A57">
        <w:rPr>
          <w:rFonts w:ascii="Times New Roman" w:eastAsia="標楷體" w:hAnsi="Times New Roman" w:cs="Times New Roman"/>
          <w:kern w:val="0"/>
          <w:szCs w:val="24"/>
        </w:rPr>
        <w:t xml:space="preserve"> in 2020, specifying that where an accused has a hearing or speech impairment or has difficulties in understanding the language used, the service of an interpreter shall be used to safeguard the accused’s access to justice. Following the amendment to the </w:t>
      </w:r>
      <w:r w:rsidRPr="002153DE">
        <w:rPr>
          <w:rFonts w:ascii="Times New Roman" w:eastAsia="標楷體" w:hAnsi="Times New Roman" w:cs="Times New Roman"/>
          <w:iCs/>
          <w:kern w:val="0"/>
          <w:szCs w:val="24"/>
        </w:rPr>
        <w:t>Code of Criminal Procedure</w:t>
      </w:r>
      <w:r w:rsidRPr="00885A57">
        <w:rPr>
          <w:rFonts w:ascii="Times New Roman" w:eastAsia="標楷體" w:hAnsi="Times New Roman" w:cs="Times New Roman"/>
          <w:kern w:val="0"/>
          <w:szCs w:val="24"/>
        </w:rPr>
        <w:t xml:space="preserve">, the MOI regulated that during police </w:t>
      </w:r>
      <w:r w:rsidR="00672432" w:rsidRPr="00885A57">
        <w:rPr>
          <w:rFonts w:ascii="Times New Roman" w:eastAsia="標楷體" w:hAnsi="Times New Roman" w:cs="Times New Roman"/>
          <w:kern w:val="0"/>
          <w:szCs w:val="24"/>
        </w:rPr>
        <w:t>interrogations,</w:t>
      </w:r>
      <w:r w:rsidRPr="00885A57">
        <w:rPr>
          <w:rFonts w:ascii="Times New Roman" w:eastAsia="標楷體" w:hAnsi="Times New Roman" w:cs="Times New Roman"/>
          <w:kern w:val="0"/>
          <w:szCs w:val="24"/>
        </w:rPr>
        <w:t xml:space="preserve"> where the victim has </w:t>
      </w:r>
      <w:r w:rsidR="00FC1FDD">
        <w:rPr>
          <w:rFonts w:ascii="Times New Roman" w:eastAsia="標楷體" w:hAnsi="Times New Roman" w:cs="Times New Roman"/>
          <w:kern w:val="0"/>
          <w:szCs w:val="24"/>
        </w:rPr>
        <w:t>a disability</w:t>
      </w:r>
      <w:r w:rsidRPr="00885A57">
        <w:rPr>
          <w:rFonts w:ascii="Times New Roman" w:eastAsia="標楷體" w:hAnsi="Times New Roman" w:cs="Times New Roman"/>
          <w:kern w:val="0"/>
          <w:szCs w:val="24"/>
        </w:rPr>
        <w:t xml:space="preserve">, </w:t>
      </w:r>
      <w:r w:rsidR="00FC1FDD">
        <w:rPr>
          <w:rFonts w:ascii="Times New Roman" w:eastAsia="標楷體" w:hAnsi="Times New Roman" w:cs="Times New Roman"/>
          <w:kern w:val="0"/>
          <w:szCs w:val="24"/>
        </w:rPr>
        <w:t xml:space="preserve">his/her </w:t>
      </w:r>
      <w:r w:rsidRPr="00885A57">
        <w:rPr>
          <w:rFonts w:ascii="Times New Roman" w:eastAsia="標楷體" w:hAnsi="Times New Roman" w:cs="Times New Roman"/>
          <w:kern w:val="0"/>
          <w:szCs w:val="24"/>
        </w:rPr>
        <w:t xml:space="preserve">legal representative, spouse, lineal blood relative, collateral blood relative within the third degree of kinship, parent, family member, physician, psychologist, counselor, social worker, or other </w:t>
      </w:r>
      <w:r w:rsidR="008F3D3D">
        <w:rPr>
          <w:rFonts w:ascii="Times New Roman" w:eastAsia="標楷體" w:hAnsi="Times New Roman" w:cs="Times New Roman"/>
          <w:kern w:val="0"/>
          <w:szCs w:val="24"/>
        </w:rPr>
        <w:t>person</w:t>
      </w:r>
      <w:r w:rsidR="008F3D3D" w:rsidRPr="00885A57">
        <w:rPr>
          <w:rFonts w:ascii="Times New Roman" w:eastAsia="標楷體" w:hAnsi="Times New Roman" w:cs="Times New Roman"/>
          <w:kern w:val="0"/>
          <w:szCs w:val="24"/>
        </w:rPr>
        <w:t xml:space="preserve"> </w:t>
      </w:r>
      <w:r w:rsidRPr="00885A57">
        <w:rPr>
          <w:rFonts w:ascii="Times New Roman" w:eastAsia="標楷體" w:hAnsi="Times New Roman" w:cs="Times New Roman"/>
          <w:kern w:val="0"/>
          <w:szCs w:val="24"/>
        </w:rPr>
        <w:t xml:space="preserve">the victim trusts, with the consent of the victim, may be present alongside the victim during the trial. The police officer may, upon petition of the victim or on his/her own </w:t>
      </w:r>
      <w:r w:rsidR="008F3D3D">
        <w:rPr>
          <w:rFonts w:ascii="Times New Roman" w:eastAsia="標楷體" w:hAnsi="Times New Roman" w:cs="Times New Roman"/>
          <w:kern w:val="0"/>
          <w:szCs w:val="24"/>
        </w:rPr>
        <w:t>authority</w:t>
      </w:r>
      <w:r w:rsidRPr="00885A57">
        <w:rPr>
          <w:rFonts w:ascii="Times New Roman" w:eastAsia="標楷體" w:hAnsi="Times New Roman" w:cs="Times New Roman"/>
          <w:kern w:val="0"/>
          <w:szCs w:val="24"/>
        </w:rPr>
        <w:t xml:space="preserve">, employ appropriate isolation facilities to prevent the victim from being seen by the accused or a third party, thereby protecting the victim’s privacy. Where the suspect, witness, or victim </w:t>
      </w:r>
      <w:r w:rsidR="008F3D3D">
        <w:rPr>
          <w:rFonts w:ascii="Times New Roman" w:eastAsia="標楷體" w:hAnsi="Times New Roman" w:cs="Times New Roman"/>
          <w:kern w:val="0"/>
          <w:szCs w:val="24"/>
        </w:rPr>
        <w:t xml:space="preserve">has a </w:t>
      </w:r>
      <w:r w:rsidRPr="00885A57">
        <w:rPr>
          <w:rFonts w:ascii="Times New Roman" w:eastAsia="標楷體" w:hAnsi="Times New Roman" w:cs="Times New Roman"/>
          <w:kern w:val="0"/>
          <w:szCs w:val="24"/>
        </w:rPr>
        <w:t>hearing or speech impairment or has difficulties in understanding the language used, an interpreting service shall be used during police interrogation; such persons may also be examined using written words or ordered to make a statement in writing.</w:t>
      </w:r>
      <w:bookmarkEnd w:id="94"/>
      <w:r w:rsidR="007C2879" w:rsidRPr="00885A57">
        <w:rPr>
          <w:rFonts w:ascii="Times New Roman" w:eastAsia="標楷體" w:hAnsi="Times New Roman" w:cs="Times New Roman"/>
          <w:vertAlign w:val="superscript"/>
        </w:rPr>
        <w:footnoteReference w:id="57"/>
      </w:r>
    </w:p>
    <w:p w14:paraId="7A30BC69" w14:textId="5F4DBAD6" w:rsidR="002D7B9B" w:rsidRPr="00885A57" w:rsidRDefault="00AF4FC2" w:rsidP="003F531D">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To uphold the presumption of innocence and prevent bad faith acts by police officers, the MOI reviewed existing police interrogation techniques (</w:t>
      </w:r>
      <w:r w:rsidR="008F3D3D">
        <w:rPr>
          <w:rFonts w:ascii="Times New Roman" w:eastAsia="標楷體" w:hAnsi="Times New Roman" w:cs="Times New Roman"/>
          <w:szCs w:val="24"/>
        </w:rPr>
        <w:t xml:space="preserve">for </w:t>
      </w:r>
      <w:r w:rsidRPr="00885A57">
        <w:rPr>
          <w:rFonts w:ascii="Times New Roman" w:eastAsia="標楷體" w:hAnsi="Times New Roman" w:cs="Times New Roman"/>
          <w:szCs w:val="24"/>
        </w:rPr>
        <w:t xml:space="preserve">suspects and witnesses) and procedures and proposed the Syllabus </w:t>
      </w:r>
      <w:r w:rsidR="00FC1FDD">
        <w:rPr>
          <w:rFonts w:ascii="Times New Roman" w:eastAsia="標楷體" w:hAnsi="Times New Roman" w:cs="Times New Roman"/>
          <w:szCs w:val="24"/>
        </w:rPr>
        <w:t xml:space="preserve">for </w:t>
      </w:r>
      <w:r w:rsidRPr="00885A57">
        <w:rPr>
          <w:rFonts w:ascii="Times New Roman" w:eastAsia="標楷體" w:hAnsi="Times New Roman" w:cs="Times New Roman"/>
          <w:szCs w:val="24"/>
        </w:rPr>
        <w:t xml:space="preserve">Police Interrogation Practice Courses, which introduces </w:t>
      </w:r>
      <w:r w:rsidR="008F3D3D">
        <w:rPr>
          <w:rFonts w:ascii="Times New Roman" w:eastAsia="標楷體" w:hAnsi="Times New Roman" w:cs="Times New Roman"/>
          <w:szCs w:val="24"/>
        </w:rPr>
        <w:t xml:space="preserve">communication skills </w:t>
      </w:r>
      <w:r w:rsidRPr="00885A57">
        <w:rPr>
          <w:rFonts w:ascii="Times New Roman" w:eastAsia="標楷體" w:hAnsi="Times New Roman" w:cs="Times New Roman"/>
          <w:szCs w:val="24"/>
        </w:rPr>
        <w:t xml:space="preserve">with suspects or defendants with disabilities through interpreting services and provides case studies. Since 2019, Central Police University and Taiwan Police College have </w:t>
      </w:r>
      <w:r w:rsidRPr="00885A57">
        <w:rPr>
          <w:rFonts w:ascii="Times New Roman" w:eastAsia="標楷體" w:hAnsi="Times New Roman" w:cs="Times New Roman"/>
          <w:szCs w:val="24"/>
        </w:rPr>
        <w:lastRenderedPageBreak/>
        <w:t>offered relevant courses with rolling adjustment according to regular assessments.</w:t>
      </w:r>
    </w:p>
    <w:p w14:paraId="672EB3E7" w14:textId="1826E7DA" w:rsidR="002D7B9B" w:rsidRPr="00885A57" w:rsidRDefault="003B46CA" w:rsidP="003F531D">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95" w:name="_Ref55909470"/>
      <w:r w:rsidRPr="00885A57">
        <w:rPr>
          <w:rFonts w:ascii="Times New Roman" w:eastAsia="標楷體" w:hAnsi="Times New Roman" w:cs="Times New Roman"/>
          <w:szCs w:val="24"/>
        </w:rPr>
        <w:t>A</w:t>
      </w:r>
      <w:r w:rsidR="00AF4FC2" w:rsidRPr="00885A57">
        <w:rPr>
          <w:rFonts w:ascii="Times New Roman" w:eastAsia="標楷體" w:hAnsi="Times New Roman" w:cs="Times New Roman"/>
          <w:szCs w:val="24"/>
        </w:rPr>
        <w:t xml:space="preserve">mended and enacted in 2019, the </w:t>
      </w:r>
      <w:r w:rsidR="00AF4FC2" w:rsidRPr="002153DE">
        <w:rPr>
          <w:rFonts w:ascii="Times New Roman" w:eastAsia="標楷體" w:hAnsi="Times New Roman" w:cs="Times New Roman"/>
          <w:iCs/>
          <w:szCs w:val="24"/>
        </w:rPr>
        <w:t>Juvenile Justice Act</w:t>
      </w:r>
      <w:r w:rsidR="00AF4FC2" w:rsidRPr="00885A57">
        <w:rPr>
          <w:rFonts w:ascii="Times New Roman" w:eastAsia="標楷體" w:hAnsi="Times New Roman" w:cs="Times New Roman"/>
          <w:szCs w:val="24"/>
        </w:rPr>
        <w:t xml:space="preserve"> provides protective measures for youth with disabilities</w:t>
      </w:r>
      <w:r w:rsidR="00943340" w:rsidRPr="00885A57">
        <w:rPr>
          <w:rFonts w:ascii="Times New Roman" w:eastAsia="標楷體" w:hAnsi="Times New Roman" w:cs="Times New Roman"/>
          <w:szCs w:val="24"/>
        </w:rPr>
        <w:t>,</w:t>
      </w:r>
      <w:r w:rsidR="00AF4FC2" w:rsidRPr="00885A57">
        <w:rPr>
          <w:rFonts w:ascii="Times New Roman" w:eastAsia="標楷體" w:hAnsi="Times New Roman" w:cs="Times New Roman"/>
          <w:szCs w:val="24"/>
        </w:rPr>
        <w:t xml:space="preserve"> including pretrial investigation (including </w:t>
      </w:r>
      <w:r w:rsidR="008F3D3D">
        <w:rPr>
          <w:rFonts w:ascii="Times New Roman" w:eastAsia="標楷體" w:hAnsi="Times New Roman" w:cs="Times New Roman"/>
          <w:szCs w:val="24"/>
        </w:rPr>
        <w:t xml:space="preserve">into </w:t>
      </w:r>
      <w:r w:rsidR="00AF4FC2" w:rsidRPr="00885A57">
        <w:rPr>
          <w:rFonts w:ascii="Times New Roman" w:eastAsia="標楷體" w:hAnsi="Times New Roman" w:cs="Times New Roman"/>
          <w:szCs w:val="24"/>
        </w:rPr>
        <w:t>physical and mental states)</w:t>
      </w:r>
      <w:r w:rsidR="00943340" w:rsidRPr="00885A57">
        <w:rPr>
          <w:rFonts w:ascii="Times New Roman" w:eastAsia="標楷體" w:hAnsi="Times New Roman" w:cs="Times New Roman"/>
          <w:szCs w:val="24"/>
        </w:rPr>
        <w:t>;</w:t>
      </w:r>
      <w:r w:rsidR="00AF4FC2" w:rsidRPr="00885A57">
        <w:rPr>
          <w:rFonts w:ascii="Times New Roman" w:eastAsia="標楷體" w:hAnsi="Times New Roman" w:cs="Times New Roman"/>
          <w:szCs w:val="24"/>
        </w:rPr>
        <w:t xml:space="preserve"> </w:t>
      </w:r>
      <w:r w:rsidR="00FC1FDD">
        <w:rPr>
          <w:rFonts w:ascii="Times New Roman" w:eastAsia="標楷體" w:hAnsi="Times New Roman" w:cs="Times New Roman"/>
          <w:szCs w:val="24"/>
        </w:rPr>
        <w:t xml:space="preserve">the </w:t>
      </w:r>
      <w:r w:rsidR="00943340" w:rsidRPr="00885A57">
        <w:rPr>
          <w:rFonts w:ascii="Times New Roman" w:eastAsia="標楷體" w:hAnsi="Times New Roman" w:cs="Times New Roman"/>
          <w:szCs w:val="24"/>
        </w:rPr>
        <w:t xml:space="preserve">companionship and assistance of adults or experts during </w:t>
      </w:r>
      <w:r w:rsidR="0073775A" w:rsidRPr="00885A57">
        <w:rPr>
          <w:rFonts w:ascii="Times New Roman" w:eastAsia="標楷體" w:hAnsi="Times New Roman" w:cs="Times New Roman"/>
          <w:szCs w:val="24"/>
        </w:rPr>
        <w:t xml:space="preserve">the </w:t>
      </w:r>
      <w:r w:rsidR="00943340" w:rsidRPr="00885A57">
        <w:rPr>
          <w:rFonts w:ascii="Times New Roman" w:eastAsia="標楷體" w:hAnsi="Times New Roman" w:cs="Times New Roman"/>
          <w:szCs w:val="24"/>
        </w:rPr>
        <w:t>interrogation or questioning</w:t>
      </w:r>
      <w:r w:rsidR="0073775A" w:rsidRPr="00885A57">
        <w:rPr>
          <w:rFonts w:ascii="Times New Roman" w:eastAsia="標楷體" w:hAnsi="Times New Roman" w:cs="Times New Roman"/>
          <w:szCs w:val="24"/>
        </w:rPr>
        <w:t xml:space="preserve"> of the youth in question</w:t>
      </w:r>
      <w:r w:rsidR="00943340" w:rsidRPr="00885A57">
        <w:rPr>
          <w:rFonts w:ascii="Times New Roman" w:eastAsia="標楷體" w:hAnsi="Times New Roman" w:cs="Times New Roman"/>
          <w:szCs w:val="24"/>
        </w:rPr>
        <w:t xml:space="preserve">; </w:t>
      </w:r>
      <w:r w:rsidR="00AF4FC2" w:rsidRPr="00885A57">
        <w:rPr>
          <w:rFonts w:ascii="Times New Roman" w:eastAsia="標楷體" w:hAnsi="Times New Roman" w:cs="Times New Roman"/>
          <w:szCs w:val="24"/>
        </w:rPr>
        <w:t>rights notification</w:t>
      </w:r>
      <w:r w:rsidR="00943340" w:rsidRPr="00885A57">
        <w:rPr>
          <w:rFonts w:ascii="Times New Roman" w:eastAsia="標楷體" w:hAnsi="Times New Roman" w:cs="Times New Roman"/>
          <w:szCs w:val="24"/>
        </w:rPr>
        <w:t>;</w:t>
      </w:r>
      <w:r w:rsidR="0046642F">
        <w:rPr>
          <w:rFonts w:ascii="Times New Roman" w:eastAsia="標楷體" w:hAnsi="Times New Roman" w:cs="Times New Roman"/>
          <w:szCs w:val="24"/>
        </w:rPr>
        <w:t xml:space="preserve"> </w:t>
      </w:r>
      <w:r w:rsidR="00AF4FC2" w:rsidRPr="00885A57">
        <w:rPr>
          <w:rFonts w:ascii="Times New Roman" w:eastAsia="標楷體" w:hAnsi="Times New Roman" w:cs="Times New Roman"/>
          <w:szCs w:val="24"/>
        </w:rPr>
        <w:t>isolated interrogation</w:t>
      </w:r>
      <w:r w:rsidR="00717E0A">
        <w:rPr>
          <w:rFonts w:ascii="Times New Roman" w:eastAsia="標楷體" w:hAnsi="Times New Roman" w:cs="Times New Roman"/>
          <w:szCs w:val="24"/>
        </w:rPr>
        <w:t xml:space="preserve"> for adults and youth</w:t>
      </w:r>
      <w:r w:rsidR="00943340" w:rsidRPr="00885A57">
        <w:rPr>
          <w:rFonts w:ascii="Times New Roman" w:eastAsia="標楷體" w:hAnsi="Times New Roman" w:cs="Times New Roman"/>
          <w:szCs w:val="24"/>
        </w:rPr>
        <w:t>;</w:t>
      </w:r>
      <w:r w:rsidR="00AF4FC2" w:rsidRPr="00885A57">
        <w:rPr>
          <w:rFonts w:ascii="Times New Roman" w:eastAsia="標楷體" w:hAnsi="Times New Roman" w:cs="Times New Roman"/>
          <w:szCs w:val="24"/>
        </w:rPr>
        <w:t xml:space="preserve"> prohibition of continuous and nighttime interrogations</w:t>
      </w:r>
      <w:r w:rsidR="00943340" w:rsidRPr="00885A57">
        <w:rPr>
          <w:rFonts w:ascii="Times New Roman" w:eastAsia="標楷體" w:hAnsi="Times New Roman" w:cs="Times New Roman"/>
          <w:szCs w:val="24"/>
        </w:rPr>
        <w:t>;</w:t>
      </w:r>
      <w:r w:rsidR="00AF4FC2" w:rsidRPr="00885A57">
        <w:rPr>
          <w:rFonts w:ascii="Times New Roman" w:eastAsia="標楷體" w:hAnsi="Times New Roman" w:cs="Times New Roman"/>
          <w:szCs w:val="24"/>
        </w:rPr>
        <w:t xml:space="preserve"> protection of the rights to be heard and know judicial proceedings</w:t>
      </w:r>
      <w:r w:rsidR="00943340" w:rsidRPr="00885A57">
        <w:rPr>
          <w:rFonts w:ascii="Times New Roman" w:eastAsia="標楷體" w:hAnsi="Times New Roman" w:cs="Times New Roman"/>
          <w:szCs w:val="24"/>
        </w:rPr>
        <w:t>;</w:t>
      </w:r>
      <w:r w:rsidR="00943340" w:rsidRPr="00885A57">
        <w:t xml:space="preserve"> </w:t>
      </w:r>
      <w:r w:rsidR="00943340" w:rsidRPr="00885A57">
        <w:rPr>
          <w:rFonts w:ascii="Times New Roman" w:eastAsia="標楷體" w:hAnsi="Times New Roman" w:cs="Times New Roman"/>
          <w:szCs w:val="24"/>
        </w:rPr>
        <w:t>assessment of physical and psychological conditions and behavioral observation in juvenile detention centers;</w:t>
      </w:r>
      <w:r w:rsidR="00AF4FC2" w:rsidRPr="00885A57">
        <w:rPr>
          <w:rFonts w:ascii="Times New Roman" w:eastAsia="標楷體" w:hAnsi="Times New Roman" w:cs="Times New Roman"/>
          <w:szCs w:val="24"/>
        </w:rPr>
        <w:t xml:space="preserve"> placement</w:t>
      </w:r>
      <w:r w:rsidR="0073775A" w:rsidRPr="00885A57">
        <w:rPr>
          <w:rFonts w:ascii="Times New Roman" w:eastAsia="標楷體" w:hAnsi="Times New Roman" w:cs="Times New Roman"/>
          <w:szCs w:val="24"/>
        </w:rPr>
        <w:t xml:space="preserve"> of the youth in an appropriate institution to receive</w:t>
      </w:r>
      <w:r w:rsidR="00AF4FC2" w:rsidRPr="00885A57">
        <w:rPr>
          <w:rFonts w:ascii="Times New Roman" w:eastAsia="標楷體" w:hAnsi="Times New Roman" w:cs="Times New Roman"/>
          <w:szCs w:val="24"/>
        </w:rPr>
        <w:t xml:space="preserve"> guidance and reformatory education as per the</w:t>
      </w:r>
      <w:r w:rsidR="008B60AE" w:rsidRPr="00885A57">
        <w:rPr>
          <w:rFonts w:ascii="Times New Roman" w:eastAsia="標楷體" w:hAnsi="Times New Roman" w:cs="Times New Roman"/>
          <w:szCs w:val="24"/>
        </w:rPr>
        <w:t xml:space="preserve"> classification of the</w:t>
      </w:r>
      <w:r w:rsidR="0073775A" w:rsidRPr="00885A57">
        <w:rPr>
          <w:rFonts w:ascii="Times New Roman" w:eastAsia="標楷體" w:hAnsi="Times New Roman" w:cs="Times New Roman"/>
          <w:szCs w:val="24"/>
        </w:rPr>
        <w:t xml:space="preserve"> youth according to his or her</w:t>
      </w:r>
      <w:r w:rsidR="00AF4FC2" w:rsidRPr="00885A57">
        <w:rPr>
          <w:rFonts w:ascii="Times New Roman" w:eastAsia="標楷體" w:hAnsi="Times New Roman" w:cs="Times New Roman"/>
          <w:szCs w:val="24"/>
        </w:rPr>
        <w:t xml:space="preserve"> </w:t>
      </w:r>
      <w:r w:rsidR="00050D36" w:rsidRPr="00885A57">
        <w:rPr>
          <w:rFonts w:ascii="Times New Roman" w:eastAsia="標楷體" w:hAnsi="Times New Roman" w:cs="Times New Roman"/>
          <w:szCs w:val="24"/>
        </w:rPr>
        <w:t xml:space="preserve">condition, including </w:t>
      </w:r>
      <w:r w:rsidR="00AF4FC2" w:rsidRPr="00885A57">
        <w:rPr>
          <w:rFonts w:ascii="Times New Roman" w:eastAsia="標楷體" w:hAnsi="Times New Roman" w:cs="Times New Roman"/>
          <w:szCs w:val="24"/>
        </w:rPr>
        <w:t>physical and mental states</w:t>
      </w:r>
      <w:r w:rsidR="00943340" w:rsidRPr="00885A57">
        <w:rPr>
          <w:rFonts w:ascii="Times New Roman" w:eastAsia="標楷體" w:hAnsi="Times New Roman" w:cs="Times New Roman"/>
          <w:szCs w:val="24"/>
        </w:rPr>
        <w:t>;</w:t>
      </w:r>
      <w:r w:rsidR="00AF4FC2" w:rsidRPr="00885A57">
        <w:rPr>
          <w:rFonts w:ascii="Times New Roman" w:eastAsia="標楷體" w:hAnsi="Times New Roman" w:cs="Times New Roman"/>
          <w:szCs w:val="24"/>
        </w:rPr>
        <w:t xml:space="preserve"> management of data confidentiality</w:t>
      </w:r>
      <w:r w:rsidR="00943340" w:rsidRPr="00885A57">
        <w:rPr>
          <w:rFonts w:ascii="Times New Roman" w:eastAsia="標楷體" w:hAnsi="Times New Roman" w:cs="Times New Roman"/>
          <w:szCs w:val="24"/>
        </w:rPr>
        <w:t>;</w:t>
      </w:r>
      <w:r w:rsidR="00AF4FC2" w:rsidRPr="00885A57">
        <w:rPr>
          <w:rFonts w:ascii="Times New Roman" w:eastAsia="標楷體" w:hAnsi="Times New Roman" w:cs="Times New Roman"/>
          <w:szCs w:val="24"/>
        </w:rPr>
        <w:t xml:space="preserve"> and removal of criminal records. The amendment added that experts in child or adolescent mental health or other fields may be assigned if the youth is incapable of making a complete statement due to psychiatric or other mental disorders. Youth with hearing, speech and language, or multiple disabilities shall be provided with interpreting services to safeguard their right to be heard as well as other measures for the protection of rights in legal proceedings, such as the accompaniment of legal representatives, expanded breadth of rights notification, and separate custody from suspects or defendants in ordinary criminal matters.</w:t>
      </w:r>
      <w:bookmarkEnd w:id="95"/>
      <w:r w:rsidR="00AF4FC2" w:rsidRPr="00885A57">
        <w:rPr>
          <w:rStyle w:val="ab"/>
          <w:rFonts w:ascii="Times New Roman" w:eastAsia="標楷體" w:hAnsi="Times New Roman" w:cs="Times New Roman"/>
        </w:rPr>
        <w:footnoteReference w:id="58"/>
      </w:r>
    </w:p>
    <w:p w14:paraId="1492AB3E" w14:textId="0CEDB889" w:rsidR="002D7B9B" w:rsidRPr="00885A57" w:rsidRDefault="007C2879" w:rsidP="003F531D">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Since 2006, the Judicial Yuan has adopted a contract system </w:t>
      </w:r>
      <w:r w:rsidR="006B7580">
        <w:rPr>
          <w:rFonts w:ascii="Times New Roman" w:eastAsia="標楷體" w:hAnsi="Times New Roman" w:cs="Times New Roman"/>
          <w:szCs w:val="24"/>
        </w:rPr>
        <w:t xml:space="preserve">for </w:t>
      </w:r>
      <w:r w:rsidRPr="00885A57">
        <w:rPr>
          <w:rFonts w:ascii="Times New Roman" w:eastAsia="標楷體" w:hAnsi="Times New Roman" w:cs="Times New Roman"/>
          <w:szCs w:val="24"/>
        </w:rPr>
        <w:t xml:space="preserve">interpretation </w:t>
      </w:r>
      <w:r w:rsidRPr="00885A57">
        <w:rPr>
          <w:rFonts w:ascii="Times New Roman" w:eastAsia="標楷體" w:hAnsi="Times New Roman" w:cs="Times New Roman"/>
          <w:szCs w:val="24"/>
        </w:rPr>
        <w:lastRenderedPageBreak/>
        <w:t xml:space="preserve">services; high courts and their branches, high administrative courts, and intellectual property courts periodically recruit and contract with interpreters of various languages. At present, </w:t>
      </w:r>
      <w:r w:rsidR="006B7580">
        <w:rPr>
          <w:rFonts w:ascii="Times New Roman" w:eastAsia="標楷體" w:hAnsi="Times New Roman" w:cs="Times New Roman"/>
          <w:szCs w:val="24"/>
        </w:rPr>
        <w:t xml:space="preserve">these </w:t>
      </w:r>
      <w:r w:rsidRPr="00885A57">
        <w:rPr>
          <w:rFonts w:ascii="Times New Roman" w:eastAsia="標楷體" w:hAnsi="Times New Roman" w:cs="Times New Roman"/>
          <w:szCs w:val="24"/>
        </w:rPr>
        <w:t xml:space="preserve">courts have recruited 221 candidate interpreters, of whom 17 are sign language interpreters. Moreover, the service of </w:t>
      </w:r>
      <w:r w:rsidR="00AD408E">
        <w:rPr>
          <w:rFonts w:ascii="Times New Roman" w:eastAsia="標楷體" w:hAnsi="Times New Roman" w:cs="Times New Roman"/>
          <w:szCs w:val="24"/>
        </w:rPr>
        <w:t>real-time</w:t>
      </w:r>
      <w:r w:rsidR="00B910E2">
        <w:rPr>
          <w:rFonts w:ascii="Times New Roman" w:eastAsia="標楷體" w:hAnsi="Times New Roman" w:cs="Times New Roman"/>
          <w:szCs w:val="24"/>
        </w:rPr>
        <w:t xml:space="preserve"> translation</w:t>
      </w:r>
      <w:r w:rsidRPr="00885A57">
        <w:rPr>
          <w:rFonts w:ascii="Times New Roman" w:eastAsia="標楷體" w:hAnsi="Times New Roman" w:cs="Times New Roman"/>
          <w:szCs w:val="24"/>
        </w:rPr>
        <w:t xml:space="preserve"> was added, with a list of candidate </w:t>
      </w:r>
      <w:r w:rsidR="002B4C4F">
        <w:rPr>
          <w:rFonts w:ascii="Times New Roman" w:eastAsia="標楷體" w:hAnsi="Times New Roman" w:cs="Times New Roman"/>
          <w:szCs w:val="24"/>
        </w:rPr>
        <w:t>caption writers</w:t>
      </w:r>
      <w:r w:rsidRPr="00885A57">
        <w:rPr>
          <w:rFonts w:ascii="Times New Roman" w:eastAsia="標楷體" w:hAnsi="Times New Roman" w:cs="Times New Roman"/>
          <w:szCs w:val="24"/>
        </w:rPr>
        <w:t xml:space="preserve"> recommended by hearing impairment associations having been submitted to the Legislative Yuan for reference in May 2019.</w:t>
      </w:r>
    </w:p>
    <w:p w14:paraId="3BF425DA" w14:textId="49560383" w:rsidR="00D928F0" w:rsidRPr="00885A57" w:rsidRDefault="007C2879" w:rsidP="003F531D">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draft of the amendments to the </w:t>
      </w:r>
      <w:r w:rsidRPr="002153DE">
        <w:rPr>
          <w:rFonts w:ascii="Times New Roman" w:eastAsia="標楷體" w:hAnsi="Times New Roman" w:cs="Times New Roman"/>
          <w:iCs/>
          <w:szCs w:val="24"/>
        </w:rPr>
        <w:t>Code of Civil Procedure</w:t>
      </w:r>
      <w:r w:rsidRPr="00885A57">
        <w:rPr>
          <w:rFonts w:ascii="Times New Roman" w:eastAsia="標楷體" w:hAnsi="Times New Roman" w:cs="Times New Roman"/>
          <w:szCs w:val="24"/>
        </w:rPr>
        <w:t xml:space="preserve"> adds Article 211-1, </w:t>
      </w:r>
      <w:r w:rsidR="00FC1FDD">
        <w:rPr>
          <w:rFonts w:ascii="Times New Roman" w:eastAsia="標楷體" w:hAnsi="Times New Roman" w:cs="Times New Roman"/>
          <w:szCs w:val="24"/>
        </w:rPr>
        <w:t xml:space="preserve">which stipulates </w:t>
      </w:r>
      <w:r w:rsidRPr="00885A57">
        <w:rPr>
          <w:rFonts w:ascii="Times New Roman" w:eastAsia="標楷體" w:hAnsi="Times New Roman" w:cs="Times New Roman"/>
          <w:szCs w:val="24"/>
        </w:rPr>
        <w:t xml:space="preserve">that if technological equipment that enables audiovisual transmission is available </w:t>
      </w:r>
      <w:r w:rsidR="00117444">
        <w:rPr>
          <w:rFonts w:ascii="Times New Roman" w:eastAsia="標楷體" w:hAnsi="Times New Roman" w:cs="Times New Roman"/>
          <w:szCs w:val="24"/>
        </w:rPr>
        <w:t>at</w:t>
      </w:r>
      <w:r w:rsidR="00117444"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the court and at the location of the involved party, a motion may be filed with the court to conduct remote interrogation. The draft </w:t>
      </w:r>
      <w:r w:rsidRPr="002153DE">
        <w:rPr>
          <w:rFonts w:ascii="Times New Roman" w:eastAsia="標楷體" w:hAnsi="Times New Roman" w:cs="Times New Roman"/>
          <w:iCs/>
          <w:szCs w:val="24"/>
        </w:rPr>
        <w:t xml:space="preserve">Adjudicating Rules Governing the Constitutional Court </w:t>
      </w:r>
      <w:r w:rsidRPr="00885A57">
        <w:rPr>
          <w:rFonts w:ascii="Times New Roman" w:eastAsia="標楷體" w:hAnsi="Times New Roman" w:cs="Times New Roman"/>
          <w:szCs w:val="24"/>
        </w:rPr>
        <w:t xml:space="preserve">stipulates that when the Constitutional Court deems appropriate, remote adjudication may be conducted for the convenience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having difficulties appearing in court and to address adjudication efficiency concerns. To ensure equal rights to litigation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and provide adaptations for individual differences, the </w:t>
      </w:r>
      <w:r w:rsidRPr="002153DE">
        <w:rPr>
          <w:rFonts w:ascii="Times New Roman" w:eastAsia="標楷體" w:hAnsi="Times New Roman" w:cs="Times New Roman"/>
          <w:iCs/>
          <w:szCs w:val="24"/>
        </w:rPr>
        <w:t>Precautionary Matters on Handling Civil Procedure</w:t>
      </w:r>
      <w:r w:rsidR="00FC1FDD">
        <w:rPr>
          <w:rFonts w:ascii="Times New Roman" w:eastAsia="標楷體" w:hAnsi="Times New Roman" w:cs="Times New Roman"/>
          <w:iCs/>
          <w:szCs w:val="24"/>
        </w:rPr>
        <w:t>s</w:t>
      </w:r>
      <w:r w:rsidRPr="00885A57">
        <w:rPr>
          <w:rFonts w:ascii="Times New Roman" w:eastAsia="標楷體" w:hAnsi="Times New Roman" w:cs="Times New Roman"/>
          <w:szCs w:val="24"/>
        </w:rPr>
        <w:t xml:space="preserve">, amended in January 2020, </w:t>
      </w:r>
      <w:r w:rsidR="00117444">
        <w:rPr>
          <w:rFonts w:ascii="Times New Roman" w:eastAsia="標楷體" w:hAnsi="Times New Roman" w:cs="Times New Roman"/>
          <w:szCs w:val="24"/>
        </w:rPr>
        <w:t xml:space="preserve">requires </w:t>
      </w:r>
      <w:r w:rsidRPr="00885A57">
        <w:rPr>
          <w:rFonts w:ascii="Times New Roman" w:eastAsia="標楷體" w:hAnsi="Times New Roman" w:cs="Times New Roman"/>
          <w:szCs w:val="24"/>
        </w:rPr>
        <w:t xml:space="preserve">that the court provide special consideration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during trial</w:t>
      </w:r>
      <w:r w:rsidR="00117444">
        <w:rPr>
          <w:rFonts w:ascii="Times New Roman" w:eastAsia="標楷體" w:hAnsi="Times New Roman" w:cs="Times New Roman"/>
          <w:szCs w:val="24"/>
        </w:rPr>
        <w:t>s</w:t>
      </w:r>
      <w:r w:rsidRPr="00885A57">
        <w:rPr>
          <w:rFonts w:ascii="Times New Roman" w:eastAsia="標楷體" w:hAnsi="Times New Roman" w:cs="Times New Roman"/>
          <w:szCs w:val="24"/>
        </w:rPr>
        <w:t xml:space="preserve"> and give them more time to prepare for a case. In June 2020, the </w:t>
      </w:r>
      <w:r w:rsidRPr="002153DE">
        <w:rPr>
          <w:rFonts w:ascii="Times New Roman" w:eastAsia="標楷體" w:hAnsi="Times New Roman" w:cs="Times New Roman"/>
          <w:iCs/>
          <w:szCs w:val="24"/>
        </w:rPr>
        <w:t>Precautionary Matters on Handling Administrative Procedure</w:t>
      </w:r>
      <w:r w:rsidRPr="00885A57">
        <w:rPr>
          <w:rFonts w:ascii="Times New Roman" w:eastAsia="標楷體" w:hAnsi="Times New Roman" w:cs="Times New Roman"/>
          <w:szCs w:val="24"/>
        </w:rPr>
        <w:t xml:space="preserve"> were amended, and for courts subject to the guidance document, judges are requested to fulfill their duty to ensure that litigation-related laws should contain provisions for reasonable accommodation as stated in the CRPD.</w:t>
      </w:r>
    </w:p>
    <w:p w14:paraId="27943D3F" w14:textId="61080C46" w:rsidR="002D7B9B" w:rsidRPr="00885A57" w:rsidRDefault="007C2879" w:rsidP="003F531D">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lastRenderedPageBreak/>
        <w:t xml:space="preserve">To fulfil the obligation to care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during litigation, the sample notice to appear for use by administrative courts </w:t>
      </w:r>
      <w:r w:rsidR="00117444">
        <w:rPr>
          <w:rFonts w:ascii="Times New Roman" w:eastAsia="標楷體" w:hAnsi="Times New Roman" w:cs="Times New Roman"/>
          <w:szCs w:val="24"/>
        </w:rPr>
        <w:t>at</w:t>
      </w:r>
      <w:r w:rsidRPr="00885A57">
        <w:rPr>
          <w:rFonts w:ascii="Times New Roman" w:eastAsia="標楷體" w:hAnsi="Times New Roman" w:cs="Times New Roman"/>
          <w:szCs w:val="24"/>
        </w:rPr>
        <w:t xml:space="preserve"> all levels was revised in August 2020; specifically, text such as individuals requiring accessible services due to disabilities or other conditions in the </w:t>
      </w:r>
      <w:r w:rsidR="0004734E">
        <w:rPr>
          <w:rFonts w:ascii="Times New Roman" w:eastAsia="標楷體" w:hAnsi="Times New Roman" w:cs="Times New Roman"/>
          <w:szCs w:val="24"/>
        </w:rPr>
        <w:t>p</w:t>
      </w:r>
      <w:r w:rsidRPr="00885A57">
        <w:rPr>
          <w:rFonts w:ascii="Times New Roman" w:eastAsia="標楷體" w:hAnsi="Times New Roman" w:cs="Times New Roman"/>
          <w:szCs w:val="24"/>
        </w:rPr>
        <w:t>recautionary matters column was highlighted to identify the status of the litigation party in question.</w:t>
      </w:r>
    </w:p>
    <w:p w14:paraId="47D2E1F1" w14:textId="4E20EEF5" w:rsidR="002D7B9B" w:rsidRPr="00885A57" w:rsidRDefault="007C2879" w:rsidP="003F531D">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w:t>
      </w:r>
      <w:r w:rsidR="0004734E">
        <w:rPr>
          <w:rFonts w:ascii="Times New Roman" w:eastAsia="標楷體" w:hAnsi="Times New Roman" w:cs="Times New Roman"/>
          <w:iCs/>
          <w:szCs w:val="24"/>
        </w:rPr>
        <w:t xml:space="preserve">Citizen Judges Act </w:t>
      </w:r>
      <w:r w:rsidRPr="00885A57">
        <w:rPr>
          <w:rFonts w:ascii="Times New Roman" w:eastAsia="標楷體" w:hAnsi="Times New Roman" w:cs="Times New Roman"/>
          <w:szCs w:val="24"/>
        </w:rPr>
        <w:t xml:space="preserve">specifies that any citizen aged 23 years or older who has been living in the jurisdiction of the district court in question for more than four months is qualified to serve as a citizen judge or alternate. As long as </w:t>
      </w:r>
      <w:r w:rsidR="00FC1FDD">
        <w:rPr>
          <w:rFonts w:ascii="Times New Roman" w:eastAsia="標楷體" w:hAnsi="Times New Roman" w:cs="Times New Roman"/>
          <w:szCs w:val="24"/>
        </w:rPr>
        <w:t xml:space="preserve">individuals </w:t>
      </w:r>
      <w:r w:rsidRPr="00885A57">
        <w:rPr>
          <w:rFonts w:ascii="Times New Roman" w:eastAsia="標楷體" w:hAnsi="Times New Roman" w:cs="Times New Roman"/>
          <w:szCs w:val="24"/>
        </w:rPr>
        <w:t xml:space="preserve">do not have any negative </w:t>
      </w:r>
      <w:r w:rsidR="00D96E53">
        <w:rPr>
          <w:rFonts w:ascii="Times New Roman" w:eastAsia="標楷體" w:hAnsi="Times New Roman" w:cs="Times New Roman"/>
          <w:szCs w:val="24"/>
        </w:rPr>
        <w:t xml:space="preserve">characteristics </w:t>
      </w:r>
      <w:r w:rsidRPr="00885A57">
        <w:rPr>
          <w:rFonts w:ascii="Times New Roman" w:eastAsia="標楷體" w:hAnsi="Times New Roman" w:cs="Times New Roman"/>
          <w:szCs w:val="24"/>
        </w:rPr>
        <w:t xml:space="preserve">as specified in the relevant provisions of the act, they are entitled to serve as a citizen judge or alternate and participate in a trial presided over by a professional judge. To prepare for the formal enactment of </w:t>
      </w:r>
      <w:r w:rsidRPr="002153DE">
        <w:rPr>
          <w:rFonts w:ascii="Times New Roman" w:eastAsia="標楷體" w:hAnsi="Times New Roman" w:cs="Times New Roman"/>
          <w:iCs/>
          <w:szCs w:val="24"/>
        </w:rPr>
        <w:t xml:space="preserve">the </w:t>
      </w:r>
      <w:r w:rsidR="0004734E">
        <w:rPr>
          <w:rFonts w:ascii="Times New Roman" w:eastAsia="標楷體" w:hAnsi="Times New Roman" w:cs="Times New Roman"/>
          <w:iCs/>
          <w:szCs w:val="24"/>
        </w:rPr>
        <w:t xml:space="preserve">Citizen Judges Act </w:t>
      </w:r>
      <w:r w:rsidRPr="00885A57">
        <w:rPr>
          <w:rFonts w:ascii="Times New Roman" w:eastAsia="標楷體" w:hAnsi="Times New Roman" w:cs="Times New Roman"/>
          <w:szCs w:val="24"/>
        </w:rPr>
        <w:t xml:space="preserve">in 2023, the Judicial Yuan, while constructing citizen-judge-centered courts and relevant spaces and adopting measures that promote citizen judge participation, intends to safeguard the right to justice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and ensure the inclusion of diverse opinions from various fields during the trial before a judgment is made.</w:t>
      </w:r>
    </w:p>
    <w:p w14:paraId="34842EE6" w14:textId="5A546A33" w:rsidR="00F70665" w:rsidRPr="00885A57" w:rsidRDefault="007C2879" w:rsidP="003F531D">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Statistics compiled by correctional institutions show that the number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disability ID</w:t>
      </w:r>
      <w:r w:rsidR="003B214B">
        <w:rPr>
          <w:rFonts w:ascii="Times New Roman" w:eastAsia="標楷體" w:hAnsi="Times New Roman" w:cs="Times New Roman"/>
          <w:szCs w:val="24"/>
        </w:rPr>
        <w:t>s</w:t>
      </w:r>
      <w:r w:rsidRPr="00885A57">
        <w:rPr>
          <w:rFonts w:ascii="Times New Roman" w:eastAsia="標楷體" w:hAnsi="Times New Roman" w:cs="Times New Roman"/>
          <w:szCs w:val="24"/>
        </w:rPr>
        <w:t xml:space="preserve"> was 2,696 as of December 2019. In 2019, 50 individuals were spared imprisonment because of ag</w:t>
      </w:r>
      <w:r w:rsidR="00FC1FDD">
        <w:rPr>
          <w:rFonts w:ascii="Times New Roman" w:eastAsia="標楷體" w:hAnsi="Times New Roman" w:cs="Times New Roman"/>
          <w:szCs w:val="24"/>
        </w:rPr>
        <w:t>e</w:t>
      </w:r>
      <w:r w:rsidRPr="00885A57">
        <w:rPr>
          <w:rFonts w:ascii="Times New Roman" w:eastAsia="標楷體" w:hAnsi="Times New Roman" w:cs="Times New Roman"/>
          <w:szCs w:val="24"/>
        </w:rPr>
        <w:t>, disabilit</w:t>
      </w:r>
      <w:r w:rsidR="00FC1FDD">
        <w:rPr>
          <w:rFonts w:ascii="Times New Roman" w:eastAsia="標楷體" w:hAnsi="Times New Roman" w:cs="Times New Roman"/>
          <w:szCs w:val="24"/>
        </w:rPr>
        <w:t>y</w:t>
      </w:r>
      <w:r w:rsidRPr="00885A57">
        <w:rPr>
          <w:rFonts w:ascii="Times New Roman" w:eastAsia="標楷體" w:hAnsi="Times New Roman" w:cs="Times New Roman"/>
          <w:szCs w:val="24"/>
        </w:rPr>
        <w:t xml:space="preserve">, or incapacity. Inmates with disabilities </w:t>
      </w:r>
      <w:r w:rsidR="003B214B">
        <w:rPr>
          <w:rFonts w:ascii="Times New Roman" w:eastAsia="標楷體" w:hAnsi="Times New Roman" w:cs="Times New Roman"/>
          <w:szCs w:val="24"/>
        </w:rPr>
        <w:t xml:space="preserve">at </w:t>
      </w:r>
      <w:r w:rsidRPr="00885A57">
        <w:rPr>
          <w:rFonts w:ascii="Times New Roman" w:eastAsia="標楷體" w:hAnsi="Times New Roman" w:cs="Times New Roman"/>
          <w:szCs w:val="24"/>
        </w:rPr>
        <w:t xml:space="preserve">MOJ-affiliated correctional institutions are to receive appropriate treatment pursuant to the </w:t>
      </w:r>
      <w:r w:rsidRPr="002153DE">
        <w:rPr>
          <w:rFonts w:ascii="Times New Roman" w:eastAsia="標楷體" w:hAnsi="Times New Roman" w:cs="Times New Roman"/>
          <w:iCs/>
          <w:szCs w:val="24"/>
        </w:rPr>
        <w:t>Prison Act</w:t>
      </w:r>
      <w:r w:rsidRPr="00885A57">
        <w:rPr>
          <w:rFonts w:ascii="Times New Roman" w:eastAsia="標楷體" w:hAnsi="Times New Roman" w:cs="Times New Roman"/>
          <w:szCs w:val="24"/>
        </w:rPr>
        <w:t xml:space="preserve">. Where inmates require medical treatment, the institution in question </w:t>
      </w:r>
      <w:r w:rsidR="003B214B">
        <w:rPr>
          <w:rFonts w:ascii="Times New Roman" w:eastAsia="標楷體" w:hAnsi="Times New Roman" w:cs="Times New Roman"/>
          <w:szCs w:val="24"/>
        </w:rPr>
        <w:t xml:space="preserve">has them visit the </w:t>
      </w:r>
      <w:r w:rsidRPr="00885A57">
        <w:rPr>
          <w:rFonts w:ascii="Times New Roman" w:eastAsia="標楷體" w:hAnsi="Times New Roman" w:cs="Times New Roman"/>
          <w:szCs w:val="24"/>
        </w:rPr>
        <w:t>outpatient clinic within the institution and arrange for subsequent health care services according to medical order</w:t>
      </w:r>
      <w:r w:rsidR="003B214B">
        <w:rPr>
          <w:rFonts w:ascii="Times New Roman" w:eastAsia="標楷體" w:hAnsi="Times New Roman" w:cs="Times New Roman"/>
          <w:szCs w:val="24"/>
        </w:rPr>
        <w:t>s</w:t>
      </w:r>
      <w:r w:rsidRPr="00885A57">
        <w:rPr>
          <w:rFonts w:ascii="Times New Roman" w:eastAsia="標楷體" w:hAnsi="Times New Roman" w:cs="Times New Roman"/>
          <w:szCs w:val="24"/>
        </w:rPr>
        <w:t xml:space="preserve">, such </w:t>
      </w:r>
      <w:r w:rsidRPr="00885A57">
        <w:rPr>
          <w:rFonts w:ascii="Times New Roman" w:eastAsia="標楷體" w:hAnsi="Times New Roman" w:cs="Times New Roman"/>
          <w:szCs w:val="24"/>
        </w:rPr>
        <w:lastRenderedPageBreak/>
        <w:t>as prison-based follow-up outpatient treatment, medical treatment</w:t>
      </w:r>
      <w:r w:rsidR="00717E0A">
        <w:rPr>
          <w:rFonts w:ascii="Times New Roman" w:eastAsia="標楷體" w:hAnsi="Times New Roman" w:cs="Times New Roman"/>
          <w:szCs w:val="24"/>
        </w:rPr>
        <w:t xml:space="preserve"> under escort</w:t>
      </w:r>
      <w:r w:rsidRPr="00885A57">
        <w:rPr>
          <w:rFonts w:ascii="Times New Roman" w:eastAsia="標楷體" w:hAnsi="Times New Roman" w:cs="Times New Roman"/>
          <w:szCs w:val="24"/>
        </w:rPr>
        <w:t>, transfer to subsidiary medical units, and medical treatment on bail. A request for reasonable accommodation may be filed with the institution in question for inmates with special needs.</w:t>
      </w:r>
      <w:r w:rsidRPr="00885A57">
        <w:rPr>
          <w:rStyle w:val="ab"/>
          <w:rFonts w:ascii="Times New Roman" w:eastAsia="標楷體" w:hAnsi="Times New Roman" w:cs="Times New Roman"/>
        </w:rPr>
        <w:footnoteReference w:id="59"/>
      </w:r>
      <w:r w:rsidRPr="00885A57">
        <w:rPr>
          <w:rFonts w:ascii="Times New Roman" w:eastAsia="標楷體" w:hAnsi="Times New Roman" w:cs="Times New Roman"/>
          <w:szCs w:val="24"/>
        </w:rPr>
        <w:t xml:space="preserve"> To help inmates successfully reenter society and </w:t>
      </w:r>
      <w:r w:rsidR="003B214B">
        <w:rPr>
          <w:rFonts w:ascii="Times New Roman" w:eastAsia="標楷體" w:hAnsi="Times New Roman" w:cs="Times New Roman"/>
          <w:szCs w:val="24"/>
        </w:rPr>
        <w:t xml:space="preserve">to </w:t>
      </w:r>
      <w:r w:rsidRPr="00885A57">
        <w:rPr>
          <w:rFonts w:ascii="Times New Roman" w:eastAsia="標楷體" w:hAnsi="Times New Roman" w:cs="Times New Roman"/>
          <w:szCs w:val="24"/>
        </w:rPr>
        <w:t>connect corrections with judicial protection, the MOJ performs postincarceration investigations and reviews and promotes rehabilitation protection as well as other matters including assistance in returning home.</w:t>
      </w:r>
    </w:p>
    <w:p w14:paraId="21AC74CF" w14:textId="6339BE2C" w:rsidR="000E451C" w:rsidRPr="00885A57" w:rsidRDefault="007C2879"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Following the initiation of the guardianship-by-agreement system specified in the </w:t>
      </w:r>
      <w:r w:rsidRPr="002153DE">
        <w:rPr>
          <w:rFonts w:ascii="Times New Roman" w:eastAsia="標楷體" w:hAnsi="Times New Roman" w:cs="Times New Roman"/>
          <w:iCs/>
          <w:szCs w:val="24"/>
        </w:rPr>
        <w:t>Civil Code</w:t>
      </w:r>
      <w:r w:rsidRPr="00885A57">
        <w:rPr>
          <w:rFonts w:ascii="Times New Roman" w:eastAsia="標楷體" w:hAnsi="Times New Roman" w:cs="Times New Roman"/>
          <w:szCs w:val="24"/>
        </w:rPr>
        <w:t xml:space="preserve">, the government amended Articles 164 and 165 of the </w:t>
      </w:r>
      <w:r w:rsidRPr="002153DE">
        <w:rPr>
          <w:rFonts w:ascii="Times New Roman" w:eastAsia="標楷體" w:hAnsi="Times New Roman" w:cs="Times New Roman"/>
          <w:iCs/>
          <w:szCs w:val="24"/>
        </w:rPr>
        <w:t>Family Act</w:t>
      </w:r>
      <w:r w:rsidRPr="00885A57">
        <w:rPr>
          <w:rFonts w:ascii="Times New Roman" w:eastAsia="標楷體" w:hAnsi="Times New Roman" w:cs="Times New Roman"/>
          <w:szCs w:val="24"/>
        </w:rPr>
        <w:t xml:space="preserve"> by adding two </w:t>
      </w:r>
      <w:r w:rsidR="003B214B">
        <w:rPr>
          <w:rFonts w:ascii="Times New Roman" w:eastAsia="標楷體" w:hAnsi="Times New Roman" w:cs="Times New Roman"/>
          <w:szCs w:val="24"/>
        </w:rPr>
        <w:t xml:space="preserve">statements on declaration of </w:t>
      </w:r>
      <w:r w:rsidRPr="00885A57">
        <w:rPr>
          <w:rFonts w:ascii="Times New Roman" w:eastAsia="標楷體" w:hAnsi="Times New Roman" w:cs="Times New Roman"/>
          <w:szCs w:val="24"/>
        </w:rPr>
        <w:t xml:space="preserve">guardianship: matters concerning the contract termination of guardianship by agreement and those pertaining to guardian dismissal. The amended articles specify that a </w:t>
      </w:r>
      <w:r w:rsidRPr="00885A57">
        <w:rPr>
          <w:rFonts w:ascii="Times New Roman" w:eastAsia="標楷體" w:hAnsi="Times New Roman" w:cs="Times New Roman"/>
          <w:kern w:val="0"/>
          <w:szCs w:val="24"/>
        </w:rPr>
        <w:t>person</w:t>
      </w:r>
      <w:r w:rsidRPr="00885A57">
        <w:rPr>
          <w:rFonts w:ascii="Times New Roman" w:eastAsia="標楷體" w:hAnsi="Times New Roman" w:cs="Times New Roman"/>
          <w:szCs w:val="24"/>
        </w:rPr>
        <w:t xml:space="preserve"> subject to a guardianship declaration shall have the capacity to represent himself in proceedings during matters concerning guardian reelection, changes, and dismissal and contract termination of guardianship, thereby protecting said person</w:t>
      </w:r>
      <w:r w:rsidR="003B214B">
        <w:rPr>
          <w:rFonts w:ascii="Times New Roman" w:eastAsia="標楷體" w:hAnsi="Times New Roman" w:cs="Times New Roman"/>
          <w:szCs w:val="24"/>
        </w:rPr>
        <w:t>’s</w:t>
      </w:r>
      <w:r w:rsidRPr="00885A57">
        <w:rPr>
          <w:rFonts w:ascii="Times New Roman" w:eastAsia="標楷體" w:hAnsi="Times New Roman" w:cs="Times New Roman"/>
          <w:szCs w:val="24"/>
        </w:rPr>
        <w:t xml:space="preserve"> right to procedural autonomy and to a fair trial. The amendment came into effect in June 2019.</w:t>
      </w:r>
    </w:p>
    <w:p w14:paraId="4E7A10CC" w14:textId="07A92246" w:rsidR="00D140F5" w:rsidRPr="00885A57" w:rsidRDefault="00563F88" w:rsidP="003F531D">
      <w:pPr>
        <w:pStyle w:val="10"/>
        <w:spacing w:after="120" w:line="360" w:lineRule="auto"/>
        <w:rPr>
          <w:rFonts w:ascii="Times New Roman" w:hAnsi="Times New Roman"/>
        </w:rPr>
      </w:pPr>
      <w:bookmarkStart w:id="96" w:name="_Toc73108683"/>
      <w:r w:rsidRPr="00885A57">
        <w:rPr>
          <w:rFonts w:ascii="Times New Roman" w:hAnsi="Times New Roman"/>
        </w:rPr>
        <w:t>Article 14</w:t>
      </w:r>
      <w:bookmarkStart w:id="97" w:name="_Toc55900584"/>
      <w:r w:rsidR="00B645D5" w:rsidRPr="00885A57">
        <w:rPr>
          <w:rFonts w:ascii="Times New Roman" w:hAnsi="Times New Roman"/>
        </w:rPr>
        <w:t xml:space="preserve">: </w:t>
      </w:r>
      <w:r w:rsidRPr="00885A57">
        <w:rPr>
          <w:rFonts w:ascii="Times New Roman" w:hAnsi="Times New Roman"/>
        </w:rPr>
        <w:t xml:space="preserve">Liberty and </w:t>
      </w:r>
      <w:r w:rsidR="00852239">
        <w:rPr>
          <w:rFonts w:ascii="Times New Roman" w:hAnsi="Times New Roman"/>
        </w:rPr>
        <w:t xml:space="preserve">the </w:t>
      </w:r>
      <w:r w:rsidRPr="00885A57">
        <w:rPr>
          <w:rFonts w:ascii="Times New Roman" w:hAnsi="Times New Roman"/>
        </w:rPr>
        <w:t xml:space="preserve">security of </w:t>
      </w:r>
      <w:r w:rsidR="00852239">
        <w:rPr>
          <w:rFonts w:ascii="Times New Roman" w:hAnsi="Times New Roman"/>
        </w:rPr>
        <w:t xml:space="preserve">the </w:t>
      </w:r>
      <w:r w:rsidRPr="00885A57">
        <w:rPr>
          <w:rFonts w:ascii="Times New Roman" w:hAnsi="Times New Roman"/>
        </w:rPr>
        <w:t>person</w:t>
      </w:r>
      <w:bookmarkEnd w:id="96"/>
      <w:bookmarkEnd w:id="97"/>
    </w:p>
    <w:p w14:paraId="1ADB2449" w14:textId="7A61F173" w:rsidR="00B01C70" w:rsidRPr="00844F08" w:rsidRDefault="007C2879" w:rsidP="003F531D">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98" w:name="_Hlk28253485"/>
      <w:bookmarkStart w:id="99" w:name="_Ref55909631"/>
      <w:r w:rsidRPr="00844F08">
        <w:rPr>
          <w:rFonts w:ascii="Times New Roman" w:eastAsia="標楷體" w:hAnsi="Times New Roman" w:cs="Times New Roman"/>
          <w:bCs/>
          <w:szCs w:val="24"/>
        </w:rPr>
        <w:t xml:space="preserve">The </w:t>
      </w:r>
      <w:r w:rsidRPr="00844F08">
        <w:rPr>
          <w:rFonts w:ascii="Times New Roman" w:eastAsia="標楷體" w:hAnsi="Times New Roman" w:cs="Times New Roman"/>
          <w:bCs/>
          <w:iCs/>
          <w:szCs w:val="24"/>
        </w:rPr>
        <w:t>Mental Health Act</w:t>
      </w:r>
      <w:r w:rsidRPr="00844F08">
        <w:rPr>
          <w:rFonts w:ascii="Times New Roman" w:eastAsia="標楷體" w:hAnsi="Times New Roman" w:cs="Times New Roman"/>
          <w:bCs/>
          <w:szCs w:val="24"/>
        </w:rPr>
        <w:t xml:space="preserve"> </w:t>
      </w:r>
      <w:r w:rsidR="00852239" w:rsidRPr="00844F08">
        <w:rPr>
          <w:rFonts w:ascii="Times New Roman" w:eastAsia="標楷體" w:hAnsi="Times New Roman" w:cs="Times New Roman"/>
          <w:bCs/>
          <w:szCs w:val="24"/>
        </w:rPr>
        <w:t xml:space="preserve">was </w:t>
      </w:r>
      <w:r w:rsidRPr="00844F08">
        <w:rPr>
          <w:rFonts w:ascii="Times New Roman" w:eastAsia="標楷體" w:hAnsi="Times New Roman" w:cs="Times New Roman"/>
          <w:bCs/>
          <w:szCs w:val="24"/>
        </w:rPr>
        <w:t xml:space="preserve">formulated to promote patients’ health rights and safety. </w:t>
      </w:r>
      <w:r w:rsidR="00852239" w:rsidRPr="00844F08">
        <w:rPr>
          <w:rFonts w:ascii="Times New Roman" w:eastAsia="標楷體" w:hAnsi="Times New Roman" w:cs="Times New Roman"/>
          <w:bCs/>
          <w:szCs w:val="24"/>
        </w:rPr>
        <w:t xml:space="preserve">Matters pertaining to </w:t>
      </w:r>
      <w:r w:rsidRPr="00844F08">
        <w:rPr>
          <w:rFonts w:ascii="Times New Roman" w:eastAsia="標楷體" w:hAnsi="Times New Roman" w:cs="Times New Roman"/>
          <w:bCs/>
          <w:szCs w:val="24"/>
        </w:rPr>
        <w:t xml:space="preserve">mandatory hospitalization are not specifically </w:t>
      </w:r>
      <w:r w:rsidRPr="00844F08">
        <w:rPr>
          <w:rFonts w:ascii="Times New Roman" w:eastAsia="標楷體" w:hAnsi="Times New Roman" w:cs="Times New Roman"/>
          <w:bCs/>
          <w:szCs w:val="24"/>
        </w:rPr>
        <w:lastRenderedPageBreak/>
        <w:t>related to disability but are to protect patients with severe</w:t>
      </w:r>
      <w:r w:rsidR="00717E0A">
        <w:rPr>
          <w:rFonts w:ascii="Times New Roman" w:eastAsia="標楷體" w:hAnsi="Times New Roman" w:cs="Times New Roman"/>
          <w:bCs/>
          <w:szCs w:val="24"/>
        </w:rPr>
        <w:t>, short-term</w:t>
      </w:r>
      <w:r w:rsidRPr="00844F08">
        <w:rPr>
          <w:rFonts w:ascii="Times New Roman" w:eastAsia="標楷體" w:hAnsi="Times New Roman" w:cs="Times New Roman"/>
          <w:bCs/>
          <w:szCs w:val="24"/>
        </w:rPr>
        <w:t xml:space="preserve"> psychiatric disorders from harming themselves or others. The duration of emergency placement shall not exceed </w:t>
      </w:r>
      <w:r w:rsidR="003736C5" w:rsidRPr="00844F08">
        <w:rPr>
          <w:rFonts w:ascii="Times New Roman" w:eastAsia="標楷體" w:hAnsi="Times New Roman" w:cs="Times New Roman"/>
          <w:bCs/>
          <w:szCs w:val="24"/>
        </w:rPr>
        <w:t>five</w:t>
      </w:r>
      <w:r w:rsidRPr="00844F08">
        <w:rPr>
          <w:rFonts w:ascii="Times New Roman" w:eastAsia="標楷體" w:hAnsi="Times New Roman" w:cs="Times New Roman"/>
          <w:bCs/>
          <w:szCs w:val="24"/>
        </w:rPr>
        <w:t xml:space="preserve"> days and attention shall be paid to the protection of </w:t>
      </w:r>
      <w:r w:rsidR="00852239" w:rsidRPr="00844F08">
        <w:rPr>
          <w:rFonts w:ascii="Times New Roman" w:eastAsia="標楷體" w:hAnsi="Times New Roman" w:cs="Times New Roman"/>
          <w:bCs/>
          <w:szCs w:val="24"/>
        </w:rPr>
        <w:t xml:space="preserve">the </w:t>
      </w:r>
      <w:r w:rsidRPr="00844F08">
        <w:rPr>
          <w:rFonts w:ascii="Times New Roman" w:eastAsia="標楷體" w:hAnsi="Times New Roman" w:cs="Times New Roman"/>
          <w:bCs/>
          <w:szCs w:val="24"/>
        </w:rPr>
        <w:t>rights of patients</w:t>
      </w:r>
      <w:r w:rsidR="00852239" w:rsidRPr="00844F08">
        <w:rPr>
          <w:rFonts w:ascii="Times New Roman" w:eastAsia="標楷體" w:hAnsi="Times New Roman" w:cs="Times New Roman"/>
          <w:bCs/>
          <w:szCs w:val="24"/>
        </w:rPr>
        <w:t xml:space="preserve"> with severe conditions</w:t>
      </w:r>
      <w:r w:rsidRPr="00844F08">
        <w:rPr>
          <w:rFonts w:ascii="Times New Roman" w:eastAsia="標楷體" w:hAnsi="Times New Roman" w:cs="Times New Roman"/>
          <w:bCs/>
          <w:szCs w:val="24"/>
        </w:rPr>
        <w:t>. Mandatory examination</w:t>
      </w:r>
      <w:r w:rsidR="00B214D3">
        <w:rPr>
          <w:rFonts w:ascii="Times New Roman" w:eastAsia="標楷體" w:hAnsi="Times New Roman" w:cs="Times New Roman"/>
          <w:bCs/>
          <w:szCs w:val="24"/>
        </w:rPr>
        <w:t>s</w:t>
      </w:r>
      <w:r w:rsidRPr="00844F08">
        <w:rPr>
          <w:rFonts w:ascii="Times New Roman" w:eastAsia="標楷體" w:hAnsi="Times New Roman" w:cs="Times New Roman"/>
          <w:bCs/>
          <w:szCs w:val="24"/>
        </w:rPr>
        <w:t xml:space="preserve"> </w:t>
      </w:r>
      <w:r w:rsidR="00F70994" w:rsidRPr="00844F08">
        <w:rPr>
          <w:rFonts w:ascii="Times New Roman" w:eastAsia="標楷體" w:hAnsi="Times New Roman" w:cs="Times New Roman"/>
          <w:bCs/>
          <w:szCs w:val="24"/>
        </w:rPr>
        <w:t xml:space="preserve">are to </w:t>
      </w:r>
      <w:r w:rsidRPr="00844F08">
        <w:rPr>
          <w:rFonts w:ascii="Times New Roman" w:eastAsia="標楷體" w:hAnsi="Times New Roman" w:cs="Times New Roman"/>
          <w:bCs/>
          <w:szCs w:val="24"/>
        </w:rPr>
        <w:t xml:space="preserve">be completed in two days </w:t>
      </w:r>
      <w:r w:rsidR="00F70994" w:rsidRPr="00844F08">
        <w:rPr>
          <w:rFonts w:ascii="Times New Roman" w:eastAsia="標楷體" w:hAnsi="Times New Roman" w:cs="Times New Roman"/>
          <w:bCs/>
          <w:szCs w:val="24"/>
        </w:rPr>
        <w:t xml:space="preserve">counting </w:t>
      </w:r>
      <w:r w:rsidRPr="00844F08">
        <w:rPr>
          <w:rFonts w:ascii="Times New Roman" w:eastAsia="標楷體" w:hAnsi="Times New Roman" w:cs="Times New Roman"/>
          <w:bCs/>
          <w:szCs w:val="24"/>
        </w:rPr>
        <w:t xml:space="preserve">from the date of emergency placement. Emergency placement shall be terminated when the examination does not indicate </w:t>
      </w:r>
      <w:r w:rsidR="00B214D3">
        <w:rPr>
          <w:rFonts w:ascii="Times New Roman" w:eastAsia="標楷體" w:hAnsi="Times New Roman" w:cs="Times New Roman"/>
          <w:bCs/>
          <w:szCs w:val="24"/>
        </w:rPr>
        <w:t xml:space="preserve">the </w:t>
      </w:r>
      <w:r w:rsidRPr="00844F08">
        <w:rPr>
          <w:rFonts w:ascii="Times New Roman" w:eastAsia="標楷體" w:hAnsi="Times New Roman" w:cs="Times New Roman"/>
          <w:bCs/>
          <w:szCs w:val="24"/>
        </w:rPr>
        <w:t xml:space="preserve">necessity of mandatory hospitalization or when permission </w:t>
      </w:r>
      <w:r w:rsidR="00F70994" w:rsidRPr="00844F08">
        <w:rPr>
          <w:rFonts w:ascii="Times New Roman" w:eastAsia="標楷體" w:hAnsi="Times New Roman" w:cs="Times New Roman"/>
          <w:bCs/>
          <w:szCs w:val="24"/>
        </w:rPr>
        <w:t xml:space="preserve">for </w:t>
      </w:r>
      <w:r w:rsidRPr="00844F08">
        <w:rPr>
          <w:rFonts w:ascii="Times New Roman" w:eastAsia="標楷體" w:hAnsi="Times New Roman" w:cs="Times New Roman"/>
          <w:bCs/>
          <w:szCs w:val="24"/>
        </w:rPr>
        <w:t xml:space="preserve">mandatory hospitalization is not obtained </w:t>
      </w:r>
      <w:r w:rsidR="00F70994" w:rsidRPr="00844F08">
        <w:rPr>
          <w:rFonts w:ascii="Times New Roman" w:eastAsia="標楷體" w:hAnsi="Times New Roman" w:cs="Times New Roman"/>
          <w:bCs/>
          <w:szCs w:val="24"/>
        </w:rPr>
        <w:t xml:space="preserve">during </w:t>
      </w:r>
      <w:r w:rsidRPr="00844F08">
        <w:rPr>
          <w:rFonts w:ascii="Times New Roman" w:eastAsia="標楷體" w:hAnsi="Times New Roman" w:cs="Times New Roman"/>
          <w:bCs/>
          <w:szCs w:val="24"/>
        </w:rPr>
        <w:t xml:space="preserve">the aforementioned </w:t>
      </w:r>
      <w:r w:rsidR="00F70994" w:rsidRPr="00844F08">
        <w:rPr>
          <w:rFonts w:ascii="Times New Roman" w:eastAsia="標楷體" w:hAnsi="Times New Roman" w:cs="Times New Roman"/>
          <w:bCs/>
          <w:szCs w:val="24"/>
        </w:rPr>
        <w:t>five</w:t>
      </w:r>
      <w:r w:rsidR="00717E0A">
        <w:rPr>
          <w:rFonts w:ascii="Times New Roman" w:eastAsia="標楷體" w:hAnsi="Times New Roman" w:cs="Times New Roman"/>
          <w:bCs/>
          <w:szCs w:val="24"/>
        </w:rPr>
        <w:t xml:space="preserve"> </w:t>
      </w:r>
      <w:r w:rsidRPr="00844F08">
        <w:rPr>
          <w:rFonts w:ascii="Times New Roman" w:eastAsia="標楷體" w:hAnsi="Times New Roman" w:cs="Times New Roman"/>
          <w:bCs/>
          <w:szCs w:val="24"/>
        </w:rPr>
        <w:t>day duration</w:t>
      </w:r>
      <w:r w:rsidR="00F70994" w:rsidRPr="00844F08">
        <w:rPr>
          <w:rFonts w:ascii="Times New Roman" w:eastAsia="標楷體" w:hAnsi="Times New Roman" w:cs="Times New Roman"/>
          <w:bCs/>
          <w:szCs w:val="24"/>
        </w:rPr>
        <w:t>.</w:t>
      </w:r>
      <w:r w:rsidRPr="00844F08">
        <w:rPr>
          <w:rFonts w:ascii="Times New Roman" w:eastAsia="標楷體" w:hAnsi="Times New Roman" w:cs="Times New Roman"/>
          <w:bCs/>
          <w:szCs w:val="24"/>
        </w:rPr>
        <w:t xml:space="preserve"> </w:t>
      </w:r>
      <w:r w:rsidRPr="00844F08">
        <w:rPr>
          <w:rFonts w:ascii="Times New Roman" w:eastAsia="標楷體" w:hAnsi="Times New Roman" w:cs="Times New Roman"/>
          <w:szCs w:val="24"/>
        </w:rPr>
        <w:t xml:space="preserve">The </w:t>
      </w:r>
      <w:r w:rsidRPr="00844F08">
        <w:rPr>
          <w:rFonts w:ascii="Times New Roman" w:eastAsia="標楷體" w:hAnsi="Times New Roman" w:cs="Times New Roman"/>
          <w:iCs/>
          <w:szCs w:val="24"/>
        </w:rPr>
        <w:t>Enforcement Rules on the Mental Health Act</w:t>
      </w:r>
      <w:r w:rsidRPr="00844F08">
        <w:rPr>
          <w:rFonts w:ascii="Times New Roman" w:eastAsia="標楷體" w:hAnsi="Times New Roman" w:cs="Times New Roman"/>
          <w:szCs w:val="24"/>
        </w:rPr>
        <w:t xml:space="preserve"> stipulate that </w:t>
      </w:r>
      <w:r w:rsidRPr="00844F08">
        <w:rPr>
          <w:rFonts w:ascii="Times New Roman" w:eastAsia="標楷體" w:hAnsi="Times New Roman" w:cs="Times New Roman"/>
          <w:bCs/>
          <w:szCs w:val="24"/>
        </w:rPr>
        <w:t xml:space="preserve">the identity as a severe patient is terminated by a specialist physician after examination. This means that the termination process can only be initiated by a specialist physician. The problem regarding the lack of a time limit for autonomous termination of patients’ identity with severe psychiatric disorders was addressed by introducing regulations to the draft amendment to the </w:t>
      </w:r>
      <w:r w:rsidRPr="00844F08">
        <w:rPr>
          <w:rFonts w:ascii="Times New Roman" w:eastAsia="標楷體" w:hAnsi="Times New Roman" w:cs="Times New Roman"/>
          <w:bCs/>
          <w:iCs/>
          <w:szCs w:val="24"/>
        </w:rPr>
        <w:t>Health Mental Act</w:t>
      </w:r>
      <w:r w:rsidRPr="00844F08">
        <w:rPr>
          <w:rFonts w:ascii="Times New Roman" w:eastAsia="標楷體" w:hAnsi="Times New Roman" w:cs="Times New Roman"/>
          <w:bCs/>
          <w:szCs w:val="24"/>
        </w:rPr>
        <w:t>. Because the mandatory hospitalization system may deprive an individual of personal freedom, protective measures fo</w:t>
      </w:r>
      <w:r w:rsidR="00B214D3" w:rsidRPr="00F370E0">
        <w:rPr>
          <w:rFonts w:ascii="Times New Roman" w:eastAsia="標楷體" w:hAnsi="Times New Roman" w:cs="Times New Roman"/>
          <w:bCs/>
          <w:szCs w:val="24"/>
        </w:rPr>
        <w:t xml:space="preserve">r </w:t>
      </w:r>
      <w:r w:rsidRPr="00844F08">
        <w:rPr>
          <w:rFonts w:ascii="Times New Roman" w:eastAsia="標楷體" w:hAnsi="Times New Roman" w:cs="Times New Roman"/>
          <w:bCs/>
          <w:szCs w:val="24"/>
        </w:rPr>
        <w:t xml:space="preserve">severe patients have been specified; the patient in question or their protector may, pursuant to the </w:t>
      </w:r>
      <w:r w:rsidRPr="00844F08">
        <w:rPr>
          <w:rFonts w:ascii="Times New Roman" w:eastAsia="標楷體" w:hAnsi="Times New Roman" w:cs="Times New Roman"/>
          <w:bCs/>
          <w:iCs/>
          <w:szCs w:val="24"/>
        </w:rPr>
        <w:t>Mental Health Act</w:t>
      </w:r>
      <w:r w:rsidRPr="00844F08">
        <w:rPr>
          <w:rFonts w:ascii="Times New Roman" w:eastAsia="標楷體" w:hAnsi="Times New Roman" w:cs="Times New Roman"/>
          <w:bCs/>
          <w:szCs w:val="24"/>
        </w:rPr>
        <w:t xml:space="preserve">, apply for legal remedies from </w:t>
      </w:r>
      <w:r w:rsidR="00B214D3">
        <w:rPr>
          <w:rFonts w:ascii="Times New Roman" w:eastAsia="標楷體" w:hAnsi="Times New Roman" w:cs="Times New Roman"/>
          <w:bCs/>
          <w:szCs w:val="24"/>
        </w:rPr>
        <w:t xml:space="preserve">a </w:t>
      </w:r>
      <w:r w:rsidRPr="00844F08">
        <w:rPr>
          <w:rFonts w:ascii="Times New Roman" w:eastAsia="標楷體" w:hAnsi="Times New Roman" w:cs="Times New Roman"/>
          <w:bCs/>
          <w:szCs w:val="24"/>
        </w:rPr>
        <w:t xml:space="preserve">court. </w:t>
      </w:r>
      <w:r w:rsidRPr="00844F08">
        <w:rPr>
          <w:rFonts w:ascii="Times New Roman" w:eastAsia="標楷體" w:hAnsi="Times New Roman" w:cs="Times New Roman"/>
          <w:szCs w:val="24"/>
        </w:rPr>
        <w:t xml:space="preserve">In 2014, the </w:t>
      </w:r>
      <w:r w:rsidRPr="00844F08">
        <w:rPr>
          <w:rFonts w:ascii="Times New Roman" w:eastAsia="標楷體" w:hAnsi="Times New Roman" w:cs="Times New Roman"/>
          <w:iCs/>
          <w:szCs w:val="24"/>
        </w:rPr>
        <w:t>Habeas Corpus Act</w:t>
      </w:r>
      <w:r w:rsidRPr="00844F08">
        <w:rPr>
          <w:rFonts w:ascii="Times New Roman" w:eastAsia="標楷體" w:hAnsi="Times New Roman" w:cs="Times New Roman"/>
          <w:szCs w:val="24"/>
        </w:rPr>
        <w:t xml:space="preserve"> was revised to enable habeas corpus applications in the context of mandatory hospitalization; persons objecting to a mandatory hospitalization ruling may seek a remedy through filing a petition for administrative review (Table 14.1). The number of mandatory hospitalization cases decreased from 791 in 2016 to 725 in 2019 (Table 14.2). To establish a system for protecting the </w:t>
      </w:r>
      <w:r w:rsidRPr="00844F08">
        <w:rPr>
          <w:rFonts w:ascii="Times New Roman" w:eastAsia="標楷體" w:hAnsi="Times New Roman" w:cs="Times New Roman"/>
          <w:szCs w:val="24"/>
        </w:rPr>
        <w:lastRenderedPageBreak/>
        <w:t xml:space="preserve">human rights of </w:t>
      </w:r>
      <w:r w:rsidRPr="00844F08">
        <w:rPr>
          <w:rFonts w:ascii="Times New Roman" w:eastAsia="標楷體" w:hAnsi="Times New Roman" w:cs="Times New Roman"/>
          <w:kern w:val="0"/>
          <w:szCs w:val="24"/>
        </w:rPr>
        <w:t>people</w:t>
      </w:r>
      <w:r w:rsidRPr="00844F08">
        <w:rPr>
          <w:rFonts w:ascii="Times New Roman" w:eastAsia="標楷體" w:hAnsi="Times New Roman" w:cs="Times New Roman"/>
          <w:szCs w:val="24"/>
        </w:rPr>
        <w:t xml:space="preserve"> with psychiatric disorders, the Judicial Yuan notified local governments they are to encourage psychiatric institutions to post contact information for relevant parties that may assist in appeals and petitions from hospitalizations (e.g., phone numbers of the Legal Aid Foundation and patient rights associations). Additionally, the central government is to supervise and assess compliance with said requests as an indicator during county and city government </w:t>
      </w:r>
      <w:r w:rsidR="00145219">
        <w:rPr>
          <w:rFonts w:ascii="Times New Roman" w:eastAsia="標楷體" w:hAnsi="Times New Roman" w:cs="Times New Roman"/>
          <w:szCs w:val="24"/>
        </w:rPr>
        <w:t>assessments</w:t>
      </w:r>
      <w:r w:rsidRPr="00844F08">
        <w:rPr>
          <w:rFonts w:ascii="Times New Roman" w:eastAsia="標楷體" w:hAnsi="Times New Roman" w:cs="Times New Roman"/>
          <w:szCs w:val="24"/>
        </w:rPr>
        <w:t xml:space="preserve">. When requested by patients, medical institutions shall appoint personnel to assist with application form completion and submission. To strengthen rights protection for patients with psychiatric disorders, the government plans to amend regulations </w:t>
      </w:r>
      <w:r w:rsidR="00A20B29">
        <w:rPr>
          <w:rFonts w:ascii="Times New Roman" w:eastAsia="標楷體" w:hAnsi="Times New Roman" w:cs="Times New Roman"/>
          <w:szCs w:val="24"/>
        </w:rPr>
        <w:t>concerning</w:t>
      </w:r>
      <w:r w:rsidR="00A20B29" w:rsidRPr="00844F08">
        <w:rPr>
          <w:rFonts w:ascii="Times New Roman" w:eastAsia="標楷體" w:hAnsi="Times New Roman" w:cs="Times New Roman"/>
          <w:szCs w:val="24"/>
        </w:rPr>
        <w:t xml:space="preserve"> </w:t>
      </w:r>
      <w:r w:rsidRPr="00844F08">
        <w:rPr>
          <w:rFonts w:ascii="Times New Roman" w:eastAsia="標楷體" w:hAnsi="Times New Roman" w:cs="Times New Roman"/>
          <w:szCs w:val="24"/>
        </w:rPr>
        <w:t>mandatory hospitalization and community treatment, the amendment drafts of which are still pending because consensus has yet to be reached among the authorities on specific issues</w:t>
      </w:r>
      <w:r w:rsidRPr="00844F08">
        <w:rPr>
          <w:rFonts w:ascii="Times New Roman" w:eastAsia="標楷體" w:hAnsi="Times New Roman" w:cs="Times New Roman"/>
          <w:bCs/>
          <w:szCs w:val="24"/>
        </w:rPr>
        <w:t>.</w:t>
      </w:r>
      <w:bookmarkEnd w:id="98"/>
      <w:bookmarkEnd w:id="99"/>
      <w:r w:rsidRPr="00844F08">
        <w:rPr>
          <w:rFonts w:ascii="Times New Roman" w:eastAsia="標楷體" w:hAnsi="Times New Roman" w:cs="Times New Roman"/>
          <w:vertAlign w:val="superscript"/>
        </w:rPr>
        <w:footnoteReference w:id="60"/>
      </w:r>
    </w:p>
    <w:p w14:paraId="2FDDEBFA" w14:textId="472AD89A" w:rsidR="00101B32" w:rsidRPr="00885A57" w:rsidRDefault="007C2879"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00" w:name="_Ref55909658"/>
      <w:r w:rsidRPr="00885A57">
        <w:rPr>
          <w:rFonts w:ascii="Times New Roman" w:eastAsia="標楷體" w:hAnsi="Times New Roman" w:cs="Times New Roman"/>
          <w:szCs w:val="24"/>
        </w:rPr>
        <w:t xml:space="preserve">The </w:t>
      </w:r>
      <w:r w:rsidRPr="002153DE">
        <w:rPr>
          <w:rFonts w:ascii="Times New Roman" w:eastAsia="標楷體" w:hAnsi="Times New Roman" w:cs="Times New Roman"/>
          <w:iCs/>
          <w:szCs w:val="24"/>
        </w:rPr>
        <w:t>Mental Health Act</w:t>
      </w:r>
      <w:r w:rsidRPr="00885A57">
        <w:rPr>
          <w:rFonts w:ascii="Times New Roman" w:eastAsia="標楷體" w:hAnsi="Times New Roman" w:cs="Times New Roman"/>
          <w:szCs w:val="24"/>
        </w:rPr>
        <w:t xml:space="preserve"> specifies the process for handling cases involving mandatory hospitalization that limits personal freedom. To protect patients with psychiatric disorders, necessary treatment and protection are to be provided during mandatory hospitalization (i.e., emergency placement period). To safeguard said patients, ensure their living environment is adequate and they </w:t>
      </w:r>
      <w:r w:rsidR="00A20B29">
        <w:rPr>
          <w:rFonts w:ascii="Times New Roman" w:eastAsia="標楷體" w:hAnsi="Times New Roman" w:cs="Times New Roman"/>
          <w:szCs w:val="24"/>
        </w:rPr>
        <w:t>enjoy</w:t>
      </w:r>
      <w:r w:rsidR="00A20B29"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basic living conditions and medical treatment, and </w:t>
      </w:r>
      <w:r w:rsidR="00A20B29">
        <w:rPr>
          <w:rFonts w:ascii="Times New Roman" w:eastAsia="標楷體" w:hAnsi="Times New Roman" w:cs="Times New Roman"/>
          <w:szCs w:val="24"/>
        </w:rPr>
        <w:t xml:space="preserve">to </w:t>
      </w:r>
      <w:r w:rsidRPr="00885A57">
        <w:rPr>
          <w:rFonts w:ascii="Times New Roman" w:eastAsia="標楷體" w:hAnsi="Times New Roman" w:cs="Times New Roman"/>
          <w:szCs w:val="24"/>
        </w:rPr>
        <w:t xml:space="preserve">prevent </w:t>
      </w:r>
      <w:r w:rsidR="00A20B29">
        <w:rPr>
          <w:rFonts w:ascii="Times New Roman" w:eastAsia="標楷體" w:hAnsi="Times New Roman" w:cs="Times New Roman"/>
          <w:szCs w:val="24"/>
        </w:rPr>
        <w:t xml:space="preserve">their </w:t>
      </w:r>
      <w:r w:rsidRPr="00885A57">
        <w:rPr>
          <w:rFonts w:ascii="Times New Roman" w:eastAsia="標楷體" w:hAnsi="Times New Roman" w:cs="Times New Roman"/>
          <w:szCs w:val="24"/>
        </w:rPr>
        <w:t xml:space="preserve">being mistreated, specific guidelines and operating regulations are provided in the </w:t>
      </w:r>
      <w:r w:rsidRPr="002153DE">
        <w:rPr>
          <w:rFonts w:ascii="Times New Roman" w:eastAsia="標楷體" w:hAnsi="Times New Roman" w:cs="Times New Roman"/>
          <w:iCs/>
          <w:szCs w:val="24"/>
        </w:rPr>
        <w:t>Psychiatric Hospital Accreditation Criteria</w:t>
      </w:r>
      <w:r w:rsidRPr="00885A57">
        <w:rPr>
          <w:rFonts w:ascii="Times New Roman" w:eastAsia="標楷體" w:hAnsi="Times New Roman" w:cs="Times New Roman"/>
          <w:szCs w:val="24"/>
        </w:rPr>
        <w:t xml:space="preserve">, with the aim of safeguarding the right to medical treatment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To achieve medical </w:t>
      </w:r>
      <w:r w:rsidRPr="00885A57">
        <w:rPr>
          <w:rFonts w:ascii="Times New Roman" w:eastAsia="標楷體" w:hAnsi="Times New Roman" w:cs="Times New Roman"/>
          <w:szCs w:val="24"/>
        </w:rPr>
        <w:lastRenderedPageBreak/>
        <w:t>treatment or prevent abuse, accidents, suicide, or self</w:t>
      </w:r>
      <w:r w:rsidR="00717E0A">
        <w:rPr>
          <w:rFonts w:ascii="Times New Roman" w:eastAsia="標楷體" w:hAnsi="Times New Roman" w:cs="Times New Roman"/>
          <w:szCs w:val="24"/>
        </w:rPr>
        <w:t>-inflicted injur</w:t>
      </w:r>
      <w:r w:rsidRPr="00885A57">
        <w:rPr>
          <w:rFonts w:ascii="Times New Roman" w:eastAsia="標楷體" w:hAnsi="Times New Roman" w:cs="Times New Roman"/>
          <w:szCs w:val="24"/>
        </w:rPr>
        <w:t xml:space="preserve">y, psychiatric and care institutions may restrain patients’ bodies or limit their freedom of activity to specific protection facilities; necessity of continuing such patient restraint or curtailment of freedom of activity is to be regularly evaluated per relevant criteria. The MOHW stipulates in the </w:t>
      </w:r>
      <w:r w:rsidRPr="002153DE">
        <w:rPr>
          <w:rFonts w:ascii="Times New Roman" w:eastAsia="標楷體" w:hAnsi="Times New Roman" w:cs="Times New Roman"/>
          <w:iCs/>
          <w:szCs w:val="24"/>
        </w:rPr>
        <w:t>Psychiatric Hospital Accreditation Criteria</w:t>
      </w:r>
      <w:r w:rsidRPr="00885A57">
        <w:rPr>
          <w:rFonts w:ascii="Times New Roman" w:eastAsia="標楷體" w:hAnsi="Times New Roman" w:cs="Times New Roman"/>
          <w:szCs w:val="24"/>
        </w:rPr>
        <w:t xml:space="preserve"> that an evaluation shall be performed</w:t>
      </w:r>
      <w:r w:rsidR="0046642F">
        <w:rPr>
          <w:rFonts w:ascii="Times New Roman" w:eastAsia="標楷體" w:hAnsi="Times New Roman" w:cs="Times New Roman"/>
          <w:szCs w:val="24"/>
        </w:rPr>
        <w:t xml:space="preserve"> once at least every 15 minutes</w:t>
      </w:r>
      <w:r w:rsidRPr="00885A57">
        <w:rPr>
          <w:rFonts w:ascii="Times New Roman" w:eastAsia="標楷體" w:hAnsi="Times New Roman" w:cs="Times New Roman"/>
          <w:szCs w:val="24"/>
        </w:rPr>
        <w:t>, the compliance rate of which was 96</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91.7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and 100</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in 2017, 2018, and 2019, respectively. The MOHW also </w:t>
      </w:r>
      <w:r w:rsidR="00A20B29">
        <w:rPr>
          <w:rFonts w:ascii="Times New Roman" w:eastAsia="標楷體" w:hAnsi="Times New Roman" w:cs="Times New Roman"/>
          <w:szCs w:val="24"/>
        </w:rPr>
        <w:t xml:space="preserve">has </w:t>
      </w:r>
      <w:r w:rsidRPr="00885A57">
        <w:rPr>
          <w:rFonts w:ascii="Times New Roman" w:eastAsia="標楷體" w:hAnsi="Times New Roman" w:cs="Times New Roman"/>
          <w:szCs w:val="24"/>
        </w:rPr>
        <w:t xml:space="preserve">local governments conduct regular and random inspections of the implementation of said evaluations at various psychiatric care institutions. During hospitalization, where patients or their protectors perceive that </w:t>
      </w:r>
      <w:r w:rsidR="00A20B29">
        <w:rPr>
          <w:rFonts w:ascii="Times New Roman" w:eastAsia="標楷體" w:hAnsi="Times New Roman" w:cs="Times New Roman"/>
          <w:szCs w:val="24"/>
        </w:rPr>
        <w:t xml:space="preserve">a </w:t>
      </w:r>
      <w:r w:rsidRPr="00885A57">
        <w:rPr>
          <w:rFonts w:ascii="Times New Roman" w:eastAsia="標楷體" w:hAnsi="Times New Roman" w:cs="Times New Roman"/>
          <w:szCs w:val="24"/>
        </w:rPr>
        <w:t xml:space="preserve">patient’s rights are being violated by the psychiatric care institution in question, they may file a written appeal to the local government where the institution is located. The competent </w:t>
      </w:r>
      <w:r w:rsidR="00A20B29">
        <w:rPr>
          <w:rFonts w:ascii="Times New Roman" w:eastAsia="標楷體" w:hAnsi="Times New Roman" w:cs="Times New Roman"/>
          <w:szCs w:val="24"/>
        </w:rPr>
        <w:t xml:space="preserve">local </w:t>
      </w:r>
      <w:r w:rsidRPr="00885A57">
        <w:rPr>
          <w:rFonts w:ascii="Times New Roman" w:eastAsia="標楷體" w:hAnsi="Times New Roman" w:cs="Times New Roman"/>
          <w:szCs w:val="24"/>
        </w:rPr>
        <w:t xml:space="preserve">authorities shall then investigate and process </w:t>
      </w:r>
      <w:r w:rsidR="00A20B29">
        <w:rPr>
          <w:rFonts w:ascii="Times New Roman" w:eastAsia="標楷體" w:hAnsi="Times New Roman" w:cs="Times New Roman"/>
          <w:szCs w:val="24"/>
        </w:rPr>
        <w:t xml:space="preserve">the </w:t>
      </w:r>
      <w:r w:rsidRPr="00885A57">
        <w:rPr>
          <w:rFonts w:ascii="Times New Roman" w:eastAsia="標楷體" w:hAnsi="Times New Roman" w:cs="Times New Roman"/>
          <w:szCs w:val="24"/>
        </w:rPr>
        <w:t>appeal and notify the applicant of the results.</w:t>
      </w:r>
      <w:bookmarkEnd w:id="100"/>
    </w:p>
    <w:p w14:paraId="305B0DFF" w14:textId="17D579CB" w:rsidR="00A80F10" w:rsidRPr="00885A57" w:rsidRDefault="007C2879"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government has requested that psychiatric and medical institutions perform discharge planning for patients to </w:t>
      </w:r>
      <w:r w:rsidR="00844F08">
        <w:rPr>
          <w:rFonts w:ascii="Times New Roman" w:eastAsia="標楷體" w:hAnsi="Times New Roman" w:cs="Times New Roman"/>
          <w:szCs w:val="24"/>
        </w:rPr>
        <w:t xml:space="preserve">connect </w:t>
      </w:r>
      <w:r w:rsidRPr="00885A57">
        <w:rPr>
          <w:rFonts w:ascii="Times New Roman" w:eastAsia="標楷體" w:hAnsi="Times New Roman" w:cs="Times New Roman"/>
          <w:szCs w:val="24"/>
        </w:rPr>
        <w:t xml:space="preserve">patients with community psychiatric rehabilitation institutions and community-based follow-up and protection services handled by community care visitors. To provide community-based services for patients with psychiatric disorders, the government launched the Project </w:t>
      </w:r>
      <w:r w:rsidR="00A20B29">
        <w:rPr>
          <w:rFonts w:ascii="Times New Roman" w:eastAsia="標楷體" w:hAnsi="Times New Roman" w:cs="Times New Roman"/>
          <w:szCs w:val="24"/>
        </w:rPr>
        <w:t xml:space="preserve">to Reward </w:t>
      </w:r>
      <w:r w:rsidRPr="00885A57">
        <w:rPr>
          <w:rFonts w:ascii="Times New Roman" w:eastAsia="標楷體" w:hAnsi="Times New Roman" w:cs="Times New Roman"/>
          <w:szCs w:val="24"/>
        </w:rPr>
        <w:t>Mental Health Institutions and Groups. In 2016, the government began funding the Enhancing the Quality of Community Care for Patients with Psychiatric Disorders</w:t>
      </w:r>
      <w:r w:rsidR="00A20B29">
        <w:rPr>
          <w:rFonts w:ascii="Times New Roman" w:eastAsia="標楷體" w:hAnsi="Times New Roman" w:cs="Times New Roman"/>
          <w:szCs w:val="24"/>
        </w:rPr>
        <w:t xml:space="preserve"> Project</w:t>
      </w:r>
      <w:r w:rsidRPr="00885A57">
        <w:rPr>
          <w:rFonts w:ascii="Times New Roman" w:eastAsia="標楷體" w:hAnsi="Times New Roman" w:cs="Times New Roman"/>
          <w:szCs w:val="24"/>
        </w:rPr>
        <w:t xml:space="preserve">, aiming to enrich community care resources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psychiatric disorders, encourage medical institutions </w:t>
      </w:r>
      <w:r w:rsidRPr="00885A57">
        <w:rPr>
          <w:rFonts w:ascii="Times New Roman" w:eastAsia="標楷體" w:hAnsi="Times New Roman" w:cs="Times New Roman"/>
          <w:szCs w:val="24"/>
        </w:rPr>
        <w:lastRenderedPageBreak/>
        <w:t xml:space="preserve">to provide active community care, interventions, and follow-up for said patients at high risk, guide patients to regularly seek medical care, and help families to handle emergencies. Therefore, patients can receive proper medical care to reduce harmful behavior and acute attacks. Considering that community resources are insufficient and must meet </w:t>
      </w:r>
      <w:r w:rsidR="00A20B29">
        <w:rPr>
          <w:rFonts w:ascii="Times New Roman" w:eastAsia="標楷體" w:hAnsi="Times New Roman" w:cs="Times New Roman"/>
          <w:szCs w:val="24"/>
        </w:rPr>
        <w:t>a variety of needs</w:t>
      </w:r>
      <w:r w:rsidRPr="00885A57">
        <w:rPr>
          <w:rFonts w:ascii="Times New Roman" w:eastAsia="標楷體" w:hAnsi="Times New Roman" w:cs="Times New Roman"/>
          <w:szCs w:val="24"/>
        </w:rPr>
        <w:t xml:space="preserve">, the government developed </w:t>
      </w:r>
      <w:r w:rsidR="00A20B29">
        <w:rPr>
          <w:rFonts w:ascii="Times New Roman" w:eastAsia="標楷體" w:hAnsi="Times New Roman" w:cs="Times New Roman"/>
          <w:szCs w:val="24"/>
        </w:rPr>
        <w:t xml:space="preserve">the </w:t>
      </w:r>
      <w:r w:rsidRPr="00885A57">
        <w:rPr>
          <w:rFonts w:ascii="Times New Roman" w:eastAsia="標楷體" w:hAnsi="Times New Roman" w:cs="Times New Roman"/>
          <w:szCs w:val="24"/>
        </w:rPr>
        <w:t>Diverse Community Life Solutions for Patients with Psychiatric Disorders</w:t>
      </w:r>
      <w:r w:rsidR="00A20B29">
        <w:rPr>
          <w:rFonts w:ascii="Times New Roman" w:eastAsia="標楷體" w:hAnsi="Times New Roman" w:cs="Times New Roman"/>
          <w:szCs w:val="24"/>
        </w:rPr>
        <w:t xml:space="preserve"> pilot project in 2019</w:t>
      </w:r>
      <w:r w:rsidRPr="00885A57">
        <w:rPr>
          <w:rFonts w:ascii="Times New Roman" w:eastAsia="標楷體" w:hAnsi="Times New Roman" w:cs="Times New Roman"/>
          <w:szCs w:val="24"/>
        </w:rPr>
        <w:t xml:space="preserve">. This project expands community support by providing services </w:t>
      </w:r>
      <w:r w:rsidR="002F14CD">
        <w:rPr>
          <w:rFonts w:ascii="Times New Roman" w:eastAsia="標楷體" w:hAnsi="Times New Roman" w:cs="Times New Roman"/>
          <w:szCs w:val="24"/>
        </w:rPr>
        <w:t xml:space="preserve">including </w:t>
      </w:r>
      <w:r w:rsidRPr="00885A57">
        <w:rPr>
          <w:rFonts w:ascii="Times New Roman" w:eastAsia="標楷體" w:hAnsi="Times New Roman" w:cs="Times New Roman"/>
          <w:szCs w:val="24"/>
        </w:rPr>
        <w:t xml:space="preserve">in-home accompaniment for patients experiencing severe emotional crises, communication promotion between family members, </w:t>
      </w:r>
      <w:r w:rsidR="002F14CD">
        <w:rPr>
          <w:rFonts w:ascii="Times New Roman" w:eastAsia="標楷體" w:hAnsi="Times New Roman" w:cs="Times New Roman"/>
          <w:szCs w:val="24"/>
        </w:rPr>
        <w:t xml:space="preserve">reducing the risk of </w:t>
      </w:r>
      <w:r w:rsidRPr="00885A57">
        <w:rPr>
          <w:rFonts w:ascii="Times New Roman" w:eastAsia="標楷體" w:hAnsi="Times New Roman" w:cs="Times New Roman"/>
          <w:szCs w:val="24"/>
        </w:rPr>
        <w:t xml:space="preserve">domestic disputes, case management, family support, community living guidance, self-care instruction, employability empowerment, transition to employment, and community life solutions. In 2020, active services that reduce risk and rapidly resolve onsite disputes were added, allowing a patient in question to receive proper medical services. With assistance from psychiatric professionals who assess emergencies related to patients, police officers, firefighters, guards, social workers, and public health and medical staff can provide 24/7 Consultation Services for Psychiatric Medical Emergency Treatment. The service aims at assisting families in handling emergencies, preventing patients from causing harm to </w:t>
      </w:r>
      <w:r w:rsidR="002F14CD">
        <w:rPr>
          <w:rFonts w:ascii="Times New Roman" w:eastAsia="標楷體" w:hAnsi="Times New Roman" w:cs="Times New Roman"/>
          <w:szCs w:val="24"/>
        </w:rPr>
        <w:t xml:space="preserve">themselves </w:t>
      </w:r>
      <w:r w:rsidRPr="00885A57">
        <w:rPr>
          <w:rFonts w:ascii="Times New Roman" w:eastAsia="標楷體" w:hAnsi="Times New Roman" w:cs="Times New Roman"/>
          <w:szCs w:val="24"/>
        </w:rPr>
        <w:t>or others, and reducing family members’ care burden. Following advances in psychiatric medical technology and increased average life expectancy, patients with psychiatric disorders are faced with long-term care problems caused by ag</w:t>
      </w:r>
      <w:r w:rsidR="00A70F1D">
        <w:rPr>
          <w:rFonts w:ascii="Times New Roman" w:eastAsia="標楷體" w:hAnsi="Times New Roman" w:cs="Times New Roman"/>
          <w:szCs w:val="24"/>
        </w:rPr>
        <w:t>e</w:t>
      </w:r>
      <w:r w:rsidRPr="00885A57">
        <w:rPr>
          <w:rFonts w:ascii="Times New Roman" w:eastAsia="標楷體" w:hAnsi="Times New Roman" w:cs="Times New Roman"/>
          <w:szCs w:val="24"/>
        </w:rPr>
        <w:t xml:space="preserve">ing. Based on the framework of existing long-term care services, the government has established a </w:t>
      </w:r>
      <w:r w:rsidRPr="00885A57">
        <w:rPr>
          <w:rFonts w:ascii="Times New Roman" w:eastAsia="標楷體" w:hAnsi="Times New Roman" w:cs="Times New Roman"/>
          <w:szCs w:val="24"/>
        </w:rPr>
        <w:lastRenderedPageBreak/>
        <w:t xml:space="preserve">pilot service center and seven district service centers; the centers </w:t>
      </w:r>
      <w:r w:rsidR="00F9452B">
        <w:rPr>
          <w:rFonts w:ascii="Times New Roman" w:eastAsia="標楷體" w:hAnsi="Times New Roman" w:cs="Times New Roman"/>
          <w:szCs w:val="24"/>
        </w:rPr>
        <w:t xml:space="preserve">will </w:t>
      </w:r>
      <w:r w:rsidRPr="00885A57">
        <w:rPr>
          <w:rFonts w:ascii="Times New Roman" w:eastAsia="標楷體" w:hAnsi="Times New Roman" w:cs="Times New Roman"/>
          <w:szCs w:val="24"/>
        </w:rPr>
        <w:t>gradually establish a long-term care service model for patients with psychiatric disorders, conduct personnel training, and improve the quality of care services for patients.</w:t>
      </w:r>
    </w:p>
    <w:p w14:paraId="72E5ED37" w14:textId="7747EC04" w:rsidR="001816A1" w:rsidRPr="00885A57" w:rsidRDefault="007C2879" w:rsidP="001B1227">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kern w:val="0"/>
          <w:szCs w:val="24"/>
        </w:rPr>
        <w:t>If police officers, while performing their duties, determine that a psychiatric patient or a person whose psychiatric conditions as specified in the</w:t>
      </w:r>
      <w:r w:rsidRPr="002153DE">
        <w:rPr>
          <w:rFonts w:ascii="Times New Roman" w:eastAsia="標楷體" w:hAnsi="Times New Roman" w:cs="Times New Roman"/>
          <w:iCs/>
          <w:kern w:val="0"/>
          <w:szCs w:val="24"/>
        </w:rPr>
        <w:t xml:space="preserve"> Mental Health Act</w:t>
      </w:r>
      <w:r w:rsidRPr="00885A57">
        <w:rPr>
          <w:rFonts w:ascii="Times New Roman" w:eastAsia="標楷體" w:hAnsi="Times New Roman" w:cs="Times New Roman"/>
          <w:kern w:val="0"/>
          <w:szCs w:val="24"/>
        </w:rPr>
        <w:t xml:space="preserve"> is at risk of harming himself/herself, they should notify the local competent public health authority to provide assistance or to jointly handle the matter pursuant to the </w:t>
      </w:r>
      <w:r w:rsidRPr="002153DE">
        <w:rPr>
          <w:rFonts w:ascii="Times New Roman" w:eastAsia="標楷體" w:hAnsi="Times New Roman" w:cs="Times New Roman"/>
          <w:iCs/>
          <w:kern w:val="0"/>
          <w:szCs w:val="24"/>
        </w:rPr>
        <w:t>Operating Procedures of Escorting Patients with Psychiatric Disorders</w:t>
      </w:r>
      <w:r w:rsidRPr="00885A57">
        <w:rPr>
          <w:rFonts w:ascii="Times New Roman" w:eastAsia="標楷體" w:hAnsi="Times New Roman" w:cs="Times New Roman"/>
          <w:kern w:val="0"/>
          <w:szCs w:val="24"/>
        </w:rPr>
        <w:t xml:space="preserve"> enacted by the MOI. When necessary, public health and </w:t>
      </w:r>
      <w:r w:rsidR="00F9452B">
        <w:rPr>
          <w:rFonts w:ascii="Times New Roman" w:eastAsia="標楷體" w:hAnsi="Times New Roman" w:cs="Times New Roman"/>
          <w:kern w:val="0"/>
          <w:szCs w:val="24"/>
        </w:rPr>
        <w:t xml:space="preserve">firefighting personnel </w:t>
      </w:r>
      <w:r w:rsidRPr="00885A57">
        <w:rPr>
          <w:rFonts w:ascii="Times New Roman" w:eastAsia="標楷體" w:hAnsi="Times New Roman" w:cs="Times New Roman"/>
          <w:kern w:val="0"/>
          <w:szCs w:val="24"/>
        </w:rPr>
        <w:t>should be notified to escort the patient to an adequate medical institution for treatment, so as to ensure his/her rights</w:t>
      </w:r>
      <w:r w:rsidRPr="00885A57">
        <w:rPr>
          <w:rFonts w:ascii="Times New Roman" w:eastAsia="標楷體" w:hAnsi="Times New Roman" w:cs="Times New Roman"/>
          <w:szCs w:val="24"/>
        </w:rPr>
        <w:t>.</w:t>
      </w:r>
    </w:p>
    <w:p w14:paraId="5C53D1BC" w14:textId="36474C8A" w:rsidR="00A64045" w:rsidRPr="00885A57" w:rsidRDefault="007C2879" w:rsidP="001B1227">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LTCSA regulates that long-term care institutions and their personnel shall provide proper care and protection for the users of long-term care services and shall not...restrict physical freedom or engage in any other matters that infringes upon their interests; violations of said </w:t>
      </w:r>
      <w:r w:rsidR="00F9452B">
        <w:rPr>
          <w:rFonts w:ascii="Times New Roman" w:eastAsia="標楷體" w:hAnsi="Times New Roman" w:cs="Times New Roman"/>
          <w:szCs w:val="24"/>
        </w:rPr>
        <w:t xml:space="preserve">provision </w:t>
      </w:r>
      <w:r w:rsidRPr="00885A57">
        <w:rPr>
          <w:rFonts w:ascii="Times New Roman" w:eastAsia="標楷體" w:hAnsi="Times New Roman" w:cs="Times New Roman"/>
          <w:szCs w:val="24"/>
        </w:rPr>
        <w:t xml:space="preserve">are subject to a fine. </w:t>
      </w:r>
      <w:r w:rsidR="00E64191">
        <w:rPr>
          <w:rFonts w:ascii="Times New Roman" w:eastAsia="標楷體" w:hAnsi="Times New Roman" w:cs="Times New Roman"/>
          <w:szCs w:val="24"/>
        </w:rPr>
        <w:t xml:space="preserve">Governments at all levels </w:t>
      </w:r>
      <w:r w:rsidRPr="00885A57">
        <w:rPr>
          <w:rFonts w:ascii="Times New Roman" w:eastAsia="標楷體" w:hAnsi="Times New Roman" w:cs="Times New Roman"/>
          <w:szCs w:val="24"/>
        </w:rPr>
        <w:t xml:space="preserve">have incorporated the concepts of reinforcement of social participation, provision of support in independent living, and encouragement of self-expression in living arrangements when developing assessment indicators of long-term care institutions. Similarly, the </w:t>
      </w:r>
      <w:r w:rsidRPr="002153DE">
        <w:rPr>
          <w:rFonts w:ascii="Times New Roman" w:eastAsia="標楷體" w:hAnsi="Times New Roman" w:cs="Times New Roman"/>
          <w:iCs/>
          <w:szCs w:val="24"/>
        </w:rPr>
        <w:t>Regulations Governing the Accreditation of Nursing Institutions</w:t>
      </w:r>
      <w:r w:rsidRPr="00885A57">
        <w:rPr>
          <w:rFonts w:ascii="Times New Roman" w:eastAsia="標楷體" w:hAnsi="Times New Roman" w:cs="Times New Roman"/>
          <w:szCs w:val="24"/>
        </w:rPr>
        <w:t xml:space="preserve"> have included </w:t>
      </w:r>
      <w:r w:rsidR="00770568">
        <w:rPr>
          <w:rFonts w:ascii="Times New Roman" w:eastAsia="標楷體" w:hAnsi="Times New Roman" w:cs="Times New Roman"/>
          <w:szCs w:val="24"/>
        </w:rPr>
        <w:t>r</w:t>
      </w:r>
      <w:r w:rsidRPr="00885A57">
        <w:rPr>
          <w:rFonts w:ascii="Times New Roman" w:eastAsia="標楷體" w:hAnsi="Times New Roman" w:cs="Times New Roman"/>
          <w:szCs w:val="24"/>
        </w:rPr>
        <w:t xml:space="preserve">ights </w:t>
      </w:r>
      <w:r w:rsidR="00770568">
        <w:rPr>
          <w:rFonts w:ascii="Times New Roman" w:eastAsia="標楷體" w:hAnsi="Times New Roman" w:cs="Times New Roman"/>
          <w:szCs w:val="24"/>
        </w:rPr>
        <w:t>s</w:t>
      </w:r>
      <w:r w:rsidRPr="00885A57">
        <w:rPr>
          <w:rFonts w:ascii="Times New Roman" w:eastAsia="標楷體" w:hAnsi="Times New Roman" w:cs="Times New Roman"/>
          <w:szCs w:val="24"/>
        </w:rPr>
        <w:t xml:space="preserve">afeguards for </w:t>
      </w:r>
      <w:r w:rsidR="00770568">
        <w:rPr>
          <w:rFonts w:ascii="Times New Roman" w:eastAsia="標楷體" w:hAnsi="Times New Roman" w:cs="Times New Roman"/>
          <w:szCs w:val="24"/>
        </w:rPr>
        <w:t>p</w:t>
      </w:r>
      <w:r w:rsidRPr="00885A57">
        <w:rPr>
          <w:rFonts w:ascii="Times New Roman" w:eastAsia="標楷體" w:hAnsi="Times New Roman" w:cs="Times New Roman"/>
          <w:szCs w:val="24"/>
        </w:rPr>
        <w:t xml:space="preserve">ersons </w:t>
      </w:r>
      <w:r w:rsidR="00770568">
        <w:rPr>
          <w:rFonts w:ascii="Times New Roman" w:eastAsia="標楷體" w:hAnsi="Times New Roman" w:cs="Times New Roman"/>
          <w:szCs w:val="24"/>
        </w:rPr>
        <w:t>c</w:t>
      </w:r>
      <w:r w:rsidRPr="00885A57">
        <w:rPr>
          <w:rFonts w:ascii="Times New Roman" w:eastAsia="標楷體" w:hAnsi="Times New Roman" w:cs="Times New Roman"/>
          <w:szCs w:val="24"/>
        </w:rPr>
        <w:t>oncerned as a statutory assessment item, thereby securing institutional residents’ freedom of choice.</w:t>
      </w:r>
    </w:p>
    <w:p w14:paraId="690B7BFD" w14:textId="2AB318B3" w:rsidR="000F6AB5" w:rsidRPr="00885A57" w:rsidRDefault="007C2879"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01" w:name="_Ref55909745"/>
      <w:r w:rsidRPr="00885A57">
        <w:rPr>
          <w:rFonts w:ascii="Times New Roman" w:eastAsia="標楷體" w:hAnsi="Times New Roman" w:cs="Times New Roman"/>
          <w:szCs w:val="24"/>
        </w:rPr>
        <w:t xml:space="preserve">Personal care institutions providing particular living arrangements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lastRenderedPageBreak/>
        <w:t>with disabilities, including residential social welfare institutions, nursing homes, mental health care institutions, and long-term care institutions, shall allow their service recipients to freely communicate with individuals outside those particular living arrangements; the aforementioned regulation is specified as one of the institutional assessment indicators.</w:t>
      </w:r>
      <w:bookmarkEnd w:id="101"/>
      <w:r w:rsidRPr="00885A57">
        <w:rPr>
          <w:rStyle w:val="ab"/>
          <w:rFonts w:ascii="Times New Roman" w:eastAsia="標楷體" w:hAnsi="Times New Roman" w:cs="Times New Roman"/>
        </w:rPr>
        <w:footnoteReference w:id="61"/>
      </w:r>
    </w:p>
    <w:p w14:paraId="71C5A688" w14:textId="19CCFBE5" w:rsidR="000363D7" w:rsidRPr="00885A57" w:rsidRDefault="00563F88" w:rsidP="00177293">
      <w:pPr>
        <w:pStyle w:val="10"/>
        <w:spacing w:after="120" w:line="360" w:lineRule="auto"/>
        <w:rPr>
          <w:rFonts w:ascii="Times New Roman" w:hAnsi="Times New Roman"/>
        </w:rPr>
      </w:pPr>
      <w:bookmarkStart w:id="102" w:name="_Toc73108684"/>
      <w:r w:rsidRPr="00885A57">
        <w:rPr>
          <w:rFonts w:ascii="Times New Roman" w:hAnsi="Times New Roman"/>
        </w:rPr>
        <w:t>Article 15</w:t>
      </w:r>
      <w:bookmarkStart w:id="103" w:name="_Toc55900586"/>
      <w:r w:rsidR="00B645D5" w:rsidRPr="00885A57">
        <w:rPr>
          <w:rFonts w:ascii="Times New Roman" w:hAnsi="Times New Roman"/>
        </w:rPr>
        <w:t xml:space="preserve">: </w:t>
      </w:r>
      <w:r w:rsidRPr="00885A57">
        <w:rPr>
          <w:rFonts w:ascii="Times New Roman" w:hAnsi="Times New Roman"/>
        </w:rPr>
        <w:t>Freedom from torture or cruel, inhumane, or degrading</w:t>
      </w:r>
      <w:r w:rsidR="00BB3000" w:rsidRPr="00885A57">
        <w:rPr>
          <w:rFonts w:ascii="Times New Roman" w:hAnsi="Times New Roman"/>
        </w:rPr>
        <w:t xml:space="preserve"> </w:t>
      </w:r>
      <w:r w:rsidRPr="00885A57">
        <w:rPr>
          <w:rFonts w:ascii="Times New Roman" w:hAnsi="Times New Roman"/>
        </w:rPr>
        <w:t>treatment or punishment</w:t>
      </w:r>
      <w:bookmarkStart w:id="104" w:name="_Toc24010342"/>
      <w:bookmarkEnd w:id="102"/>
      <w:bookmarkEnd w:id="103"/>
    </w:p>
    <w:p w14:paraId="05593A8F" w14:textId="367DEE4F" w:rsidR="00B026C7" w:rsidRPr="00885A57" w:rsidRDefault="007C2879"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According to the </w:t>
      </w:r>
      <w:r w:rsidRPr="002153DE">
        <w:rPr>
          <w:rFonts w:ascii="Times New Roman" w:eastAsia="標楷體" w:hAnsi="Times New Roman" w:cs="Times New Roman"/>
          <w:iCs/>
          <w:szCs w:val="24"/>
        </w:rPr>
        <w:t>Medical Care Act</w:t>
      </w:r>
      <w:r w:rsidRPr="00885A57">
        <w:rPr>
          <w:rFonts w:ascii="Times New Roman" w:eastAsia="標楷體" w:hAnsi="Times New Roman" w:cs="Times New Roman"/>
          <w:szCs w:val="24"/>
        </w:rPr>
        <w:t>, when conducting human trial</w:t>
      </w:r>
      <w:r w:rsidR="00D23245">
        <w:rPr>
          <w:rFonts w:ascii="Times New Roman" w:eastAsia="標楷體" w:hAnsi="Times New Roman" w:cs="Times New Roman"/>
          <w:szCs w:val="24"/>
        </w:rPr>
        <w:t>s</w:t>
      </w:r>
      <w:r w:rsidRPr="00885A57">
        <w:rPr>
          <w:rFonts w:ascii="Times New Roman" w:eastAsia="標楷體" w:hAnsi="Times New Roman" w:cs="Times New Roman"/>
          <w:szCs w:val="24"/>
        </w:rPr>
        <w:t xml:space="preserve">, medical care institutions </w:t>
      </w:r>
      <w:r w:rsidR="00D23245">
        <w:rPr>
          <w:rFonts w:ascii="Times New Roman" w:eastAsia="標楷體" w:hAnsi="Times New Roman" w:cs="Times New Roman"/>
          <w:szCs w:val="24"/>
        </w:rPr>
        <w:t xml:space="preserve">should </w:t>
      </w:r>
      <w:r w:rsidRPr="00885A57">
        <w:rPr>
          <w:rFonts w:ascii="Times New Roman" w:eastAsia="標楷體" w:hAnsi="Times New Roman" w:cs="Times New Roman"/>
          <w:szCs w:val="24"/>
        </w:rPr>
        <w:t xml:space="preserve">pay </w:t>
      </w:r>
      <w:r w:rsidR="00D23245">
        <w:rPr>
          <w:rFonts w:ascii="Times New Roman" w:eastAsia="標楷體" w:hAnsi="Times New Roman" w:cs="Times New Roman"/>
          <w:szCs w:val="24"/>
        </w:rPr>
        <w:t xml:space="preserve">due </w:t>
      </w:r>
      <w:r w:rsidRPr="00885A57">
        <w:rPr>
          <w:rFonts w:ascii="Times New Roman" w:eastAsia="標楷體" w:hAnsi="Times New Roman" w:cs="Times New Roman"/>
          <w:szCs w:val="24"/>
        </w:rPr>
        <w:t xml:space="preserve">attention to medical procedures and first obtain written consent from research subjects. The subjects of human trials must be adults with disposing capacity. Any human trial proposal shall first be reviewed and approved by medical technologists, legal experts, and impartial citizens or NGO representatives. An institutional review board must approve general human research other than human trials funded by the Ministry of Science and Technology </w:t>
      </w:r>
      <w:r w:rsidR="00770568">
        <w:rPr>
          <w:rFonts w:ascii="Times New Roman" w:eastAsia="標楷體" w:hAnsi="Times New Roman" w:cs="Times New Roman"/>
          <w:szCs w:val="24"/>
        </w:rPr>
        <w:t xml:space="preserve">(MOST) </w:t>
      </w:r>
      <w:r w:rsidRPr="00885A57">
        <w:rPr>
          <w:rFonts w:ascii="Times New Roman" w:eastAsia="標楷體" w:hAnsi="Times New Roman" w:cs="Times New Roman"/>
          <w:szCs w:val="24"/>
        </w:rPr>
        <w:t xml:space="preserve">before being conducted according to the </w:t>
      </w:r>
      <w:r w:rsidRPr="002153DE">
        <w:rPr>
          <w:rFonts w:ascii="Times New Roman" w:eastAsia="標楷體" w:hAnsi="Times New Roman" w:cs="Times New Roman"/>
          <w:iCs/>
          <w:szCs w:val="24"/>
        </w:rPr>
        <w:t>Human Subjects Research Act</w:t>
      </w:r>
      <w:r w:rsidRPr="00885A57">
        <w:rPr>
          <w:rFonts w:ascii="Times New Roman" w:eastAsia="標楷體" w:hAnsi="Times New Roman" w:cs="Times New Roman"/>
          <w:szCs w:val="24"/>
        </w:rPr>
        <w:t>. MOJ-affiliated correctional institutions must not accept applications for inmate participant recruitment for any medical or scientific experiments to prevent inmates with disabilities from participating in any human research against their free will because of their mental disorders.</w:t>
      </w:r>
    </w:p>
    <w:p w14:paraId="61214491" w14:textId="6D097941" w:rsidR="00A761BA" w:rsidRPr="00885A57" w:rsidRDefault="007C2879"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When on duty, officers </w:t>
      </w:r>
      <w:r w:rsidR="00770568">
        <w:rPr>
          <w:rFonts w:ascii="Times New Roman" w:eastAsia="標楷體" w:hAnsi="Times New Roman" w:cs="Times New Roman"/>
          <w:szCs w:val="24"/>
        </w:rPr>
        <w:t>at</w:t>
      </w:r>
      <w:r w:rsidR="00770568"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correctional institutions shall emphasize both internal </w:t>
      </w:r>
      <w:r w:rsidRPr="00885A57">
        <w:rPr>
          <w:rFonts w:ascii="Times New Roman" w:eastAsia="標楷體" w:hAnsi="Times New Roman" w:cs="Times New Roman"/>
          <w:szCs w:val="24"/>
        </w:rPr>
        <w:lastRenderedPageBreak/>
        <w:t xml:space="preserve">security and inmates’ dignity and human rights; they shall not exceed the force reasonably necessary to achieve desired correctional objectives and are prohibited from </w:t>
      </w:r>
      <w:r w:rsidR="00770568">
        <w:rPr>
          <w:rFonts w:ascii="Times New Roman" w:eastAsia="標楷體" w:hAnsi="Times New Roman" w:cs="Times New Roman"/>
          <w:szCs w:val="24"/>
        </w:rPr>
        <w:t xml:space="preserve">torturing or </w:t>
      </w:r>
      <w:r w:rsidRPr="00885A57">
        <w:rPr>
          <w:rFonts w:ascii="Times New Roman" w:eastAsia="標楷體" w:hAnsi="Times New Roman" w:cs="Times New Roman"/>
          <w:szCs w:val="24"/>
        </w:rPr>
        <w:t>inflicting cruel, inhumane, or degrading treatment or punishment on inmates. Where officers violate relevant correctional regulations or human rights conventions, the competent authority shall identify the administrative liability of the violator and provide relevant evidence to prosecuting authorities for investigation.</w:t>
      </w:r>
    </w:p>
    <w:p w14:paraId="2C55E3F0" w14:textId="34BA883E" w:rsidR="00B436E3" w:rsidRPr="00885A57" w:rsidRDefault="007C2879" w:rsidP="00177293">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05" w:name="_Ref55909904"/>
      <w:r w:rsidRPr="00885A57">
        <w:rPr>
          <w:rFonts w:ascii="Times New Roman" w:eastAsia="標楷體" w:hAnsi="Times New Roman" w:cs="Times New Roman"/>
          <w:szCs w:val="24"/>
        </w:rPr>
        <w:t xml:space="preserve">To safeguard service recipients’ rights and the quality of services provided by long-term care, disabled welfare, and nursing institutions, the MOHW, per the LTCSA, </w:t>
      </w:r>
      <w:r w:rsidRPr="002153DE">
        <w:rPr>
          <w:rFonts w:ascii="Times New Roman" w:eastAsia="標楷體" w:hAnsi="Times New Roman" w:cs="Times New Roman"/>
          <w:iCs/>
          <w:szCs w:val="24"/>
        </w:rPr>
        <w:t>Nursing Personnel Act</w:t>
      </w:r>
      <w:r w:rsidRPr="00885A57">
        <w:rPr>
          <w:rFonts w:ascii="Times New Roman" w:eastAsia="標楷體" w:hAnsi="Times New Roman" w:cs="Times New Roman"/>
          <w:szCs w:val="24"/>
        </w:rPr>
        <w:t xml:space="preserve">, and PDRPA, established regular assessments as well as random inspections, which are to occur once </w:t>
      </w:r>
      <w:r w:rsidR="003E1C1C">
        <w:rPr>
          <w:rFonts w:ascii="Times New Roman" w:eastAsia="標楷體" w:hAnsi="Times New Roman" w:cs="Times New Roman"/>
          <w:szCs w:val="24"/>
        </w:rPr>
        <w:t xml:space="preserve">or </w:t>
      </w:r>
      <w:r w:rsidRPr="00885A57">
        <w:rPr>
          <w:rFonts w:ascii="Times New Roman" w:eastAsia="標楷體" w:hAnsi="Times New Roman" w:cs="Times New Roman"/>
          <w:szCs w:val="24"/>
        </w:rPr>
        <w:t>twice annually. Through these measures, the MOHW can ensure that improper mobility and physical restraints and torture are absent from said institutions.</w:t>
      </w:r>
      <w:bookmarkEnd w:id="105"/>
      <w:r w:rsidRPr="00885A57">
        <w:rPr>
          <w:rStyle w:val="ab"/>
          <w:rFonts w:ascii="Times New Roman" w:eastAsia="標楷體" w:hAnsi="Times New Roman" w:cs="Times New Roman"/>
        </w:rPr>
        <w:footnoteReference w:id="62"/>
      </w:r>
    </w:p>
    <w:p w14:paraId="4E6336E6" w14:textId="439996DE" w:rsidR="009F5BC0" w:rsidRPr="00885A57" w:rsidRDefault="007C2879" w:rsidP="00177293">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Disabled welfare institutions must tailor service plans (e.g., toilet training) to each service recipient to satisfy their obligations. The 2017 and 2020 </w:t>
      </w:r>
      <w:r w:rsidRPr="00885A57">
        <w:rPr>
          <w:rFonts w:ascii="Times New Roman" w:eastAsia="標楷體" w:hAnsi="Times New Roman" w:cs="Times New Roman"/>
          <w:bCs/>
          <w:szCs w:val="24"/>
        </w:rPr>
        <w:t>Assessment Indicators for Disabled Welfare Institutions specify that institutions shall provide toilet training for service recipients or help them use the toilet. The government performs random inspections to ensure compliance with said regulation</w:t>
      </w:r>
      <w:r w:rsidR="00CD4AFE">
        <w:rPr>
          <w:rFonts w:ascii="Times New Roman" w:eastAsia="標楷體" w:hAnsi="Times New Roman" w:cs="Times New Roman"/>
          <w:bCs/>
          <w:szCs w:val="24"/>
        </w:rPr>
        <w:t>s</w:t>
      </w:r>
      <w:r w:rsidRPr="00885A57">
        <w:rPr>
          <w:rFonts w:ascii="Times New Roman" w:eastAsia="標楷體" w:hAnsi="Times New Roman" w:cs="Times New Roman"/>
          <w:bCs/>
          <w:szCs w:val="24"/>
        </w:rPr>
        <w:t xml:space="preserve"> to ensure the provision of services that fit the individual needs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bCs/>
          <w:szCs w:val="24"/>
        </w:rPr>
        <w:t xml:space="preserve"> with disabilities.</w:t>
      </w:r>
    </w:p>
    <w:p w14:paraId="15359174" w14:textId="3B0C81F1" w:rsidR="002C1716" w:rsidRPr="00885A57" w:rsidRDefault="007C2879"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help the staff of disabled welfare institutions develop expertise, the MOHW </w:t>
      </w:r>
      <w:r w:rsidRPr="00885A57">
        <w:rPr>
          <w:rFonts w:ascii="Times New Roman" w:eastAsia="標楷體" w:hAnsi="Times New Roman" w:cs="Times New Roman"/>
          <w:szCs w:val="24"/>
        </w:rPr>
        <w:lastRenderedPageBreak/>
        <w:t xml:space="preserve">promulgated the </w:t>
      </w:r>
      <w:r w:rsidRPr="002153DE">
        <w:rPr>
          <w:rFonts w:ascii="Times New Roman" w:eastAsia="標楷體" w:hAnsi="Times New Roman" w:cs="Times New Roman"/>
          <w:szCs w:val="24"/>
        </w:rPr>
        <w:t xml:space="preserve">Precautionary Matters on On-The-Job Training for Service Providers of </w:t>
      </w:r>
      <w:r w:rsidRPr="002153DE">
        <w:rPr>
          <w:rFonts w:ascii="Times New Roman" w:eastAsia="標楷體" w:hAnsi="Times New Roman" w:cs="Times New Roman"/>
          <w:kern w:val="0"/>
          <w:szCs w:val="24"/>
        </w:rPr>
        <w:t>People</w:t>
      </w:r>
      <w:r w:rsidRPr="002153DE">
        <w:rPr>
          <w:rFonts w:ascii="Times New Roman" w:eastAsia="標楷體" w:hAnsi="Times New Roman" w:cs="Times New Roman"/>
          <w:szCs w:val="24"/>
        </w:rPr>
        <w:t xml:space="preserve"> with Disabilities</w:t>
      </w:r>
      <w:r w:rsidRPr="00885A57">
        <w:rPr>
          <w:rFonts w:ascii="Times New Roman" w:eastAsia="標楷體" w:hAnsi="Times New Roman" w:cs="Times New Roman"/>
          <w:szCs w:val="24"/>
        </w:rPr>
        <w:t xml:space="preserve"> in 2018, </w:t>
      </w:r>
      <w:r w:rsidR="00770568">
        <w:rPr>
          <w:rFonts w:ascii="Times New Roman" w:eastAsia="標楷體" w:hAnsi="Times New Roman" w:cs="Times New Roman"/>
          <w:szCs w:val="24"/>
        </w:rPr>
        <w:t xml:space="preserve">requiring </w:t>
      </w:r>
      <w:r w:rsidRPr="00885A57">
        <w:rPr>
          <w:rFonts w:ascii="Times New Roman" w:eastAsia="標楷體" w:hAnsi="Times New Roman" w:cs="Times New Roman"/>
          <w:szCs w:val="24"/>
        </w:rPr>
        <w:t xml:space="preserve">that service providers working with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receive at least 20 hours of on-the-job training, including </w:t>
      </w:r>
      <w:r w:rsidR="00770568">
        <w:rPr>
          <w:rFonts w:ascii="Times New Roman" w:eastAsia="標楷體" w:hAnsi="Times New Roman" w:cs="Times New Roman"/>
          <w:szCs w:val="24"/>
        </w:rPr>
        <w:t xml:space="preserve">addressing </w:t>
      </w:r>
      <w:r w:rsidRPr="00885A57">
        <w:rPr>
          <w:rFonts w:ascii="Times New Roman" w:eastAsia="標楷體" w:hAnsi="Times New Roman" w:cs="Times New Roman"/>
          <w:szCs w:val="24"/>
        </w:rPr>
        <w:t xml:space="preserve">rights protection and awareness </w:t>
      </w:r>
      <w:r w:rsidR="00157B06">
        <w:rPr>
          <w:rFonts w:ascii="Times New Roman" w:eastAsia="標楷體" w:hAnsi="Times New Roman" w:cs="Times New Roman"/>
          <w:szCs w:val="24"/>
        </w:rPr>
        <w:t xml:space="preserve">of the need to protect the rights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By receiving such training, service providers </w:t>
      </w:r>
      <w:r w:rsidR="00157B06">
        <w:rPr>
          <w:rFonts w:ascii="Times New Roman" w:eastAsia="標楷體" w:hAnsi="Times New Roman" w:cs="Times New Roman"/>
          <w:szCs w:val="24"/>
        </w:rPr>
        <w:t xml:space="preserve">at </w:t>
      </w:r>
      <w:r w:rsidRPr="00885A57">
        <w:rPr>
          <w:rFonts w:ascii="Times New Roman" w:eastAsia="標楷體" w:hAnsi="Times New Roman" w:cs="Times New Roman"/>
          <w:szCs w:val="24"/>
        </w:rPr>
        <w:t xml:space="preserve">disabled welfare institutions can acquire knowledge on how to safeguard the rights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w:t>
      </w:r>
      <w:bookmarkEnd w:id="104"/>
    </w:p>
    <w:p w14:paraId="4F54C45F" w14:textId="393AEB7D" w:rsidR="0018579B" w:rsidRPr="00885A57" w:rsidRDefault="00563F88" w:rsidP="001A2139">
      <w:pPr>
        <w:pStyle w:val="10"/>
        <w:spacing w:after="120" w:line="360" w:lineRule="auto"/>
        <w:rPr>
          <w:rFonts w:ascii="Times New Roman" w:hAnsi="Times New Roman"/>
        </w:rPr>
      </w:pPr>
      <w:bookmarkStart w:id="106" w:name="_Toc73108685"/>
      <w:r w:rsidRPr="00885A57">
        <w:rPr>
          <w:rFonts w:ascii="Times New Roman" w:hAnsi="Times New Roman"/>
        </w:rPr>
        <w:t>Article 16</w:t>
      </w:r>
      <w:bookmarkStart w:id="107" w:name="_Toc55900588"/>
      <w:r w:rsidR="00B645D5" w:rsidRPr="00885A57">
        <w:rPr>
          <w:rFonts w:ascii="Times New Roman" w:hAnsi="Times New Roman"/>
        </w:rPr>
        <w:t xml:space="preserve">: </w:t>
      </w:r>
      <w:r w:rsidRPr="00885A57">
        <w:rPr>
          <w:rFonts w:ascii="Times New Roman" w:hAnsi="Times New Roman"/>
        </w:rPr>
        <w:t>Freedom from exploitation, violence, and abuse</w:t>
      </w:r>
      <w:bookmarkEnd w:id="106"/>
      <w:bookmarkEnd w:id="107"/>
    </w:p>
    <w:p w14:paraId="1687ED10" w14:textId="48387166" w:rsidR="005B5D61" w:rsidRPr="00885A57" w:rsidRDefault="00034669" w:rsidP="00177293">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w:t>
      </w:r>
      <w:r w:rsidRPr="002153DE">
        <w:rPr>
          <w:rFonts w:ascii="Times New Roman" w:eastAsia="標楷體" w:hAnsi="Times New Roman" w:cs="Times New Roman"/>
          <w:iCs/>
          <w:szCs w:val="24"/>
        </w:rPr>
        <w:t>Human Trafficking Prevention Act</w:t>
      </w:r>
      <w:r w:rsidRPr="00885A57">
        <w:rPr>
          <w:rFonts w:ascii="Times New Roman" w:eastAsia="標楷體" w:hAnsi="Times New Roman" w:cs="Times New Roman"/>
          <w:szCs w:val="24"/>
        </w:rPr>
        <w:t xml:space="preserve"> categorizes exploitation into either sexual or labor exploitation. The regularly held Coordination Meeting for the Prevention of Human Trafficking, </w:t>
      </w:r>
      <w:r w:rsidR="00770568">
        <w:rPr>
          <w:rFonts w:ascii="Times New Roman" w:eastAsia="標楷體" w:hAnsi="Times New Roman" w:cs="Times New Roman"/>
          <w:szCs w:val="24"/>
        </w:rPr>
        <w:t xml:space="preserve">started </w:t>
      </w:r>
      <w:r w:rsidRPr="00885A57">
        <w:rPr>
          <w:rFonts w:ascii="Times New Roman" w:eastAsia="標楷體" w:hAnsi="Times New Roman" w:cs="Times New Roman"/>
          <w:szCs w:val="24"/>
        </w:rPr>
        <w:t xml:space="preserve">by the Executive Yuan, coordinates and supervises relevant authorities in handing </w:t>
      </w:r>
      <w:r w:rsidRPr="00885A57">
        <w:rPr>
          <w:rFonts w:ascii="Times New Roman" w:eastAsia="標楷體" w:hAnsi="Times New Roman" w:cs="Times New Roman"/>
          <w:kern w:val="0"/>
          <w:szCs w:val="24"/>
        </w:rPr>
        <w:t xml:space="preserve">anti-human </w:t>
      </w:r>
      <w:r w:rsidRPr="00885A57">
        <w:rPr>
          <w:rFonts w:ascii="Times New Roman" w:eastAsia="標楷體" w:hAnsi="Times New Roman" w:cs="Times New Roman"/>
          <w:szCs w:val="24"/>
        </w:rPr>
        <w:t xml:space="preserve">trafficking matters. In 2019, 92 </w:t>
      </w:r>
      <w:r w:rsidRPr="00885A57">
        <w:rPr>
          <w:rFonts w:ascii="Times New Roman" w:hAnsi="Times New Roman" w:cs="Times New Roman"/>
          <w:szCs w:val="24"/>
        </w:rPr>
        <w:t>foreign</w:t>
      </w:r>
      <w:r w:rsidRPr="00885A57">
        <w:rPr>
          <w:rFonts w:ascii="Times New Roman" w:eastAsia="標楷體" w:hAnsi="Times New Roman" w:cs="Times New Roman"/>
          <w:szCs w:val="24"/>
        </w:rPr>
        <w:t xml:space="preserve"> victims of human trafficking were sheltered, during which necessary services such as protection of their personal safety were provided. The government hosts human trafficking prevention education and training programs to raise awareness of, alertness to, and intention to report human trafficking affairs among relevant personnel specified in said act. </w:t>
      </w:r>
      <w:r w:rsidR="00787A2A">
        <w:rPr>
          <w:rFonts w:ascii="Times New Roman" w:eastAsia="標楷體" w:hAnsi="Times New Roman" w:cs="Times New Roman"/>
          <w:szCs w:val="24"/>
        </w:rPr>
        <w:t>Shelters and the provision of accommodation in shelters</w:t>
      </w:r>
      <w:r w:rsidRPr="00885A57">
        <w:rPr>
          <w:rFonts w:ascii="Times New Roman" w:eastAsia="標楷體" w:hAnsi="Times New Roman" w:cs="Times New Roman"/>
          <w:szCs w:val="24"/>
        </w:rPr>
        <w:t xml:space="preserve"> </w:t>
      </w:r>
      <w:r w:rsidR="00787A2A">
        <w:rPr>
          <w:rFonts w:ascii="Times New Roman" w:eastAsia="標楷體" w:hAnsi="Times New Roman" w:cs="Times New Roman"/>
          <w:szCs w:val="24"/>
        </w:rPr>
        <w:t xml:space="preserve">for </w:t>
      </w:r>
      <w:r w:rsidRPr="00885A57">
        <w:rPr>
          <w:rFonts w:ascii="Times New Roman" w:eastAsia="標楷體" w:hAnsi="Times New Roman" w:cs="Times New Roman"/>
          <w:szCs w:val="24"/>
        </w:rPr>
        <w:t>human trafficking victims have also been improved.</w:t>
      </w:r>
    </w:p>
    <w:p w14:paraId="0ECA9DB8" w14:textId="47CCD8AE" w:rsidR="00270FB8" w:rsidRPr="00885A57" w:rsidRDefault="00034669"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Under the </w:t>
      </w:r>
      <w:r w:rsidRPr="002153DE">
        <w:rPr>
          <w:rFonts w:ascii="Times New Roman" w:eastAsia="標楷體" w:hAnsi="Times New Roman" w:cs="Times New Roman"/>
          <w:iCs/>
          <w:szCs w:val="24"/>
        </w:rPr>
        <w:t>Crime Victim Protection Act</w:t>
      </w:r>
      <w:r w:rsidRPr="00885A57">
        <w:rPr>
          <w:rFonts w:ascii="Times New Roman" w:eastAsia="標楷體" w:hAnsi="Times New Roman" w:cs="Times New Roman"/>
          <w:szCs w:val="24"/>
        </w:rPr>
        <w:t xml:space="preserve">, Taiwan protects the family members of deceased victims, seriously injured victims of criminal acts, and victims of sexual assaults; victims with disabilities who </w:t>
      </w:r>
      <w:r w:rsidR="00787A2A">
        <w:rPr>
          <w:rFonts w:ascii="Times New Roman" w:eastAsia="標楷體" w:hAnsi="Times New Roman" w:cs="Times New Roman"/>
          <w:szCs w:val="24"/>
        </w:rPr>
        <w:t xml:space="preserve">meet </w:t>
      </w:r>
      <w:r w:rsidRPr="00885A57">
        <w:rPr>
          <w:rFonts w:ascii="Times New Roman" w:eastAsia="標楷體" w:hAnsi="Times New Roman" w:cs="Times New Roman"/>
          <w:szCs w:val="24"/>
        </w:rPr>
        <w:t xml:space="preserve">said conditions are </w:t>
      </w:r>
      <w:r w:rsidR="00770568">
        <w:rPr>
          <w:rFonts w:ascii="Times New Roman" w:eastAsia="標楷體" w:hAnsi="Times New Roman" w:cs="Times New Roman"/>
          <w:szCs w:val="24"/>
        </w:rPr>
        <w:t xml:space="preserve">also </w:t>
      </w:r>
      <w:r w:rsidRPr="00885A57">
        <w:rPr>
          <w:rFonts w:ascii="Times New Roman" w:eastAsia="標楷體" w:hAnsi="Times New Roman" w:cs="Times New Roman"/>
          <w:szCs w:val="24"/>
        </w:rPr>
        <w:t xml:space="preserve">protected. </w:t>
      </w:r>
      <w:r w:rsidR="00787A2A">
        <w:rPr>
          <w:rFonts w:ascii="Times New Roman" w:eastAsia="標楷體" w:hAnsi="Times New Roman" w:cs="Times New Roman"/>
          <w:szCs w:val="24"/>
        </w:rPr>
        <w:t xml:space="preserve">Under the supervision of </w:t>
      </w:r>
      <w:r w:rsidRPr="00885A57">
        <w:rPr>
          <w:rFonts w:ascii="Times New Roman" w:eastAsia="標楷體" w:hAnsi="Times New Roman" w:cs="Times New Roman"/>
          <w:szCs w:val="24"/>
        </w:rPr>
        <w:t xml:space="preserve">the MOJ and MOHW, the Association for Victims </w:t>
      </w:r>
      <w:r w:rsidRPr="00885A57">
        <w:rPr>
          <w:rFonts w:ascii="Times New Roman" w:eastAsia="標楷體" w:hAnsi="Times New Roman" w:cs="Times New Roman"/>
          <w:szCs w:val="24"/>
        </w:rPr>
        <w:lastRenderedPageBreak/>
        <w:t>Support protects victims of criminal acts by providing legal aid, compensation application assistance, rehabilitation</w:t>
      </w:r>
      <w:r w:rsidR="00787A2A">
        <w:rPr>
          <w:rFonts w:ascii="Times New Roman" w:eastAsia="標楷體" w:hAnsi="Times New Roman" w:cs="Times New Roman"/>
          <w:szCs w:val="24"/>
        </w:rPr>
        <w:t xml:space="preserve"> services</w:t>
      </w:r>
      <w:r w:rsidRPr="00885A57">
        <w:rPr>
          <w:rFonts w:ascii="Times New Roman" w:eastAsia="標楷體" w:hAnsi="Times New Roman" w:cs="Times New Roman"/>
          <w:szCs w:val="24"/>
        </w:rPr>
        <w:t>, and other supportive services.</w:t>
      </w:r>
    </w:p>
    <w:p w14:paraId="4B0B3837" w14:textId="15C0D0BF" w:rsidR="007831B1" w:rsidRPr="00885A57" w:rsidRDefault="00034669" w:rsidP="00177293">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kern w:val="0"/>
          <w:szCs w:val="24"/>
        </w:rPr>
        <w:t xml:space="preserve">Provisions on reporting </w:t>
      </w:r>
      <w:r w:rsidR="00717E0A">
        <w:rPr>
          <w:rFonts w:ascii="Times New Roman" w:eastAsia="標楷體" w:hAnsi="Times New Roman" w:cs="Times New Roman"/>
          <w:kern w:val="0"/>
          <w:szCs w:val="24"/>
        </w:rPr>
        <w:t xml:space="preserve">cases concerning protection from violence or abuse </w:t>
      </w:r>
      <w:r w:rsidRPr="00885A57">
        <w:rPr>
          <w:rFonts w:ascii="Times New Roman" w:eastAsia="標楷體" w:hAnsi="Times New Roman" w:cs="Times New Roman"/>
          <w:kern w:val="0"/>
          <w:szCs w:val="24"/>
        </w:rPr>
        <w:t xml:space="preserve">are specified in the </w:t>
      </w:r>
      <w:r w:rsidRPr="002153DE">
        <w:rPr>
          <w:rFonts w:ascii="Times New Roman" w:eastAsia="標楷體" w:hAnsi="Times New Roman" w:cs="Times New Roman"/>
          <w:iCs/>
          <w:kern w:val="0"/>
          <w:szCs w:val="24"/>
        </w:rPr>
        <w:t>Domestic Violence Prevention Act</w:t>
      </w:r>
      <w:r w:rsidRPr="00885A57">
        <w:rPr>
          <w:rFonts w:ascii="Times New Roman" w:eastAsia="標楷體" w:hAnsi="Times New Roman" w:cs="Times New Roman"/>
          <w:kern w:val="0"/>
          <w:szCs w:val="24"/>
        </w:rPr>
        <w:t xml:space="preserve">, </w:t>
      </w:r>
      <w:r w:rsidRPr="002153DE">
        <w:rPr>
          <w:rFonts w:ascii="Times New Roman" w:eastAsia="標楷體" w:hAnsi="Times New Roman" w:cs="Times New Roman"/>
          <w:iCs/>
          <w:kern w:val="0"/>
          <w:szCs w:val="24"/>
        </w:rPr>
        <w:t>Sexual Assault Crime Prevention Act</w:t>
      </w:r>
      <w:r w:rsidRPr="00885A57">
        <w:rPr>
          <w:rFonts w:ascii="Times New Roman" w:eastAsia="標楷體" w:hAnsi="Times New Roman" w:cs="Times New Roman"/>
          <w:kern w:val="0"/>
          <w:szCs w:val="24"/>
        </w:rPr>
        <w:t xml:space="preserve">, PCYWRA, </w:t>
      </w:r>
      <w:r w:rsidRPr="002153DE">
        <w:rPr>
          <w:rFonts w:ascii="Times New Roman" w:eastAsia="標楷體" w:hAnsi="Times New Roman" w:cs="Times New Roman"/>
          <w:iCs/>
          <w:kern w:val="0"/>
          <w:szCs w:val="24"/>
        </w:rPr>
        <w:t>Senior Citizens Welfare Act</w:t>
      </w:r>
      <w:r w:rsidRPr="00885A57">
        <w:rPr>
          <w:rFonts w:ascii="Times New Roman" w:eastAsia="標楷體" w:hAnsi="Times New Roman" w:cs="Times New Roman"/>
          <w:kern w:val="0"/>
          <w:szCs w:val="24"/>
        </w:rPr>
        <w:t xml:space="preserve">, and PDRPA. Reporting, case treatment, management, and </w:t>
      </w:r>
      <w:r w:rsidR="00787A2A">
        <w:rPr>
          <w:rFonts w:ascii="Times New Roman" w:eastAsia="標楷體" w:hAnsi="Times New Roman" w:cs="Times New Roman"/>
          <w:kern w:val="0"/>
          <w:szCs w:val="24"/>
        </w:rPr>
        <w:t xml:space="preserve">statistical </w:t>
      </w:r>
      <w:r w:rsidRPr="00885A57">
        <w:rPr>
          <w:rFonts w:ascii="Times New Roman" w:eastAsia="標楷體" w:hAnsi="Times New Roman" w:cs="Times New Roman"/>
          <w:kern w:val="0"/>
          <w:szCs w:val="24"/>
        </w:rPr>
        <w:t xml:space="preserve">research can be performed </w:t>
      </w:r>
      <w:r w:rsidR="00787A2A">
        <w:rPr>
          <w:rFonts w:ascii="Times New Roman" w:eastAsia="標楷體" w:hAnsi="Times New Roman" w:cs="Times New Roman"/>
          <w:kern w:val="0"/>
          <w:szCs w:val="24"/>
        </w:rPr>
        <w:t xml:space="preserve">via the </w:t>
      </w:r>
      <w:r w:rsidRPr="00885A57">
        <w:rPr>
          <w:rFonts w:ascii="Times New Roman" w:eastAsia="標楷體" w:hAnsi="Times New Roman" w:cs="Times New Roman"/>
          <w:kern w:val="0"/>
          <w:szCs w:val="24"/>
        </w:rPr>
        <w:t xml:space="preserve">Protection Information System. Where a reported case involves </w:t>
      </w:r>
      <w:r w:rsidR="00787A2A">
        <w:rPr>
          <w:rFonts w:ascii="Times New Roman" w:eastAsia="標楷體" w:hAnsi="Times New Roman" w:cs="Times New Roman"/>
          <w:kern w:val="0"/>
          <w:szCs w:val="24"/>
        </w:rPr>
        <w:t xml:space="preserve">an individual </w:t>
      </w:r>
      <w:r w:rsidRPr="00885A57">
        <w:rPr>
          <w:rFonts w:ascii="Times New Roman" w:eastAsia="標楷體" w:hAnsi="Times New Roman" w:cs="Times New Roman"/>
          <w:kern w:val="0"/>
          <w:szCs w:val="24"/>
        </w:rPr>
        <w:t>with disabilities, local government must investigate within 24 hours after being notified or receiving the report and prepare an investigation report within four days after case processing to provide immediate assistance.</w:t>
      </w:r>
      <w:r w:rsidRPr="00885A57">
        <w:rPr>
          <w:rStyle w:val="ab"/>
          <w:rFonts w:ascii="Times New Roman" w:eastAsia="標楷體" w:hAnsi="Times New Roman" w:cs="Times New Roman"/>
        </w:rPr>
        <w:footnoteReference w:id="63"/>
      </w:r>
      <w:r w:rsidRPr="00885A57">
        <w:rPr>
          <w:rFonts w:ascii="Times New Roman" w:eastAsia="標楷體" w:hAnsi="Times New Roman" w:cs="Times New Roman"/>
          <w:kern w:val="0"/>
          <w:szCs w:val="24"/>
        </w:rPr>
        <w:t xml:space="preserve"> In 2019, the </w:t>
      </w:r>
      <w:r w:rsidRPr="002153DE">
        <w:rPr>
          <w:rFonts w:ascii="Times New Roman" w:eastAsia="標楷體" w:hAnsi="Times New Roman" w:cs="Times New Roman"/>
          <w:iCs/>
          <w:kern w:val="0"/>
          <w:szCs w:val="24"/>
        </w:rPr>
        <w:t>Operating Rules on the Management System for Cases of Women and Children of the Police Administration</w:t>
      </w:r>
      <w:r w:rsidRPr="00885A57">
        <w:rPr>
          <w:rFonts w:ascii="Times New Roman" w:eastAsia="標楷體" w:hAnsi="Times New Roman" w:cs="Times New Roman"/>
          <w:kern w:val="0"/>
          <w:szCs w:val="24"/>
        </w:rPr>
        <w:t xml:space="preserve"> were established for the newly established management system, facilitating comprehensive tracking of reported cases related to women and children.</w:t>
      </w:r>
    </w:p>
    <w:p w14:paraId="1257BB15" w14:textId="2114F1A0" w:rsidR="002850C0" w:rsidRPr="00787A2A" w:rsidRDefault="00034669" w:rsidP="00BA05BB">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787A2A">
        <w:rPr>
          <w:rFonts w:ascii="Times New Roman" w:eastAsia="標楷體" w:hAnsi="Times New Roman" w:cs="Times New Roman"/>
          <w:szCs w:val="24"/>
        </w:rPr>
        <w:t xml:space="preserve">The MOHW regularly convenes meetings of the Domestic Violence and Sexual Assault Prevention Committee and recruits scholars, experts, and representatives from NGOs and relevant institutions to participate in policy planning and implementation. Representatives of national </w:t>
      </w:r>
      <w:r w:rsidR="00704D80" w:rsidRPr="00787A2A">
        <w:rPr>
          <w:rFonts w:ascii="Times New Roman" w:eastAsia="標楷體" w:hAnsi="Times New Roman" w:cs="Times New Roman"/>
          <w:szCs w:val="24"/>
        </w:rPr>
        <w:t>DPOs</w:t>
      </w:r>
      <w:r w:rsidRPr="00787A2A">
        <w:rPr>
          <w:rFonts w:ascii="Times New Roman" w:eastAsia="標楷體" w:hAnsi="Times New Roman" w:cs="Times New Roman"/>
          <w:szCs w:val="24"/>
        </w:rPr>
        <w:t xml:space="preserve"> are also invited to serve as committee members</w:t>
      </w:r>
      <w:r w:rsidR="00787A2A">
        <w:rPr>
          <w:rFonts w:ascii="Times New Roman" w:eastAsia="標楷體" w:hAnsi="Times New Roman" w:cs="Times New Roman"/>
          <w:szCs w:val="24"/>
        </w:rPr>
        <w:t xml:space="preserve">; these </w:t>
      </w:r>
      <w:r w:rsidRPr="00787A2A">
        <w:rPr>
          <w:rFonts w:ascii="Times New Roman" w:eastAsia="標楷體" w:hAnsi="Times New Roman" w:cs="Times New Roman"/>
          <w:szCs w:val="24"/>
        </w:rPr>
        <w:t>play an important supervisory role.</w:t>
      </w:r>
    </w:p>
    <w:p w14:paraId="1156C222" w14:textId="485307F2" w:rsidR="00A64045" w:rsidRPr="00885A57" w:rsidRDefault="00787A2A"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Pr>
          <w:rFonts w:ascii="Times New Roman" w:eastAsia="標楷體" w:hAnsi="Times New Roman" w:cs="Times New Roman"/>
          <w:szCs w:val="24"/>
        </w:rPr>
        <w:t>For the period 2016-</w:t>
      </w:r>
      <w:r w:rsidR="00034669" w:rsidRPr="00885A57">
        <w:rPr>
          <w:rFonts w:ascii="Times New Roman" w:eastAsia="標楷體" w:hAnsi="Times New Roman" w:cs="Times New Roman"/>
          <w:szCs w:val="24"/>
        </w:rPr>
        <w:t>2019, 70</w:t>
      </w:r>
      <w:r>
        <w:rPr>
          <w:rFonts w:ascii="Times New Roman" w:eastAsia="標楷體" w:hAnsi="Times New Roman" w:cs="Times New Roman"/>
          <w:szCs w:val="24"/>
        </w:rPr>
        <w:t xml:space="preserve"> percent</w:t>
      </w:r>
      <w:r w:rsidR="00034669" w:rsidRPr="00885A57">
        <w:rPr>
          <w:rFonts w:ascii="Times New Roman" w:eastAsia="標楷體" w:hAnsi="Times New Roman" w:cs="Times New Roman"/>
          <w:szCs w:val="24"/>
        </w:rPr>
        <w:t xml:space="preserve"> of victims of reported domestic violence incidents were women, among whom 7.8</w:t>
      </w:r>
      <w:r>
        <w:rPr>
          <w:rFonts w:ascii="Times New Roman" w:eastAsia="標楷體" w:hAnsi="Times New Roman" w:cs="Times New Roman"/>
          <w:szCs w:val="24"/>
        </w:rPr>
        <w:t xml:space="preserve"> percent</w:t>
      </w:r>
      <w:r w:rsidR="00034669" w:rsidRPr="00885A57">
        <w:rPr>
          <w:rFonts w:ascii="Times New Roman" w:eastAsia="標楷體" w:hAnsi="Times New Roman" w:cs="Times New Roman"/>
          <w:szCs w:val="24"/>
        </w:rPr>
        <w:t xml:space="preserve"> were </w:t>
      </w:r>
      <w:r w:rsidR="00034669" w:rsidRPr="00885A57">
        <w:rPr>
          <w:rFonts w:ascii="Times New Roman" w:eastAsia="標楷體" w:hAnsi="Times New Roman" w:cs="Times New Roman"/>
          <w:kern w:val="0"/>
          <w:szCs w:val="24"/>
        </w:rPr>
        <w:t>people</w:t>
      </w:r>
      <w:r w:rsidR="00034669" w:rsidRPr="00885A57">
        <w:rPr>
          <w:rFonts w:ascii="Times New Roman" w:eastAsia="標楷體" w:hAnsi="Times New Roman" w:cs="Times New Roman"/>
          <w:szCs w:val="24"/>
        </w:rPr>
        <w:t xml:space="preserve"> with disabilities. </w:t>
      </w:r>
      <w:r w:rsidR="00034669" w:rsidRPr="00885A57">
        <w:rPr>
          <w:rFonts w:ascii="Times New Roman" w:eastAsia="標楷體" w:hAnsi="Times New Roman" w:cs="Times New Roman"/>
          <w:szCs w:val="24"/>
        </w:rPr>
        <w:lastRenderedPageBreak/>
        <w:t>Approximately 11.5</w:t>
      </w:r>
      <w:r>
        <w:rPr>
          <w:rFonts w:ascii="Times New Roman" w:eastAsia="標楷體" w:hAnsi="Times New Roman" w:cs="Times New Roman"/>
          <w:szCs w:val="24"/>
        </w:rPr>
        <w:t xml:space="preserve"> percent</w:t>
      </w:r>
      <w:r w:rsidR="00034669" w:rsidRPr="00885A57">
        <w:rPr>
          <w:rFonts w:ascii="Times New Roman" w:eastAsia="標楷體" w:hAnsi="Times New Roman" w:cs="Times New Roman"/>
          <w:szCs w:val="24"/>
        </w:rPr>
        <w:t xml:space="preserve"> of sexual assault victims were </w:t>
      </w:r>
      <w:r w:rsidR="00034669" w:rsidRPr="00885A57">
        <w:rPr>
          <w:rFonts w:ascii="Times New Roman" w:eastAsia="標楷體" w:hAnsi="Times New Roman" w:cs="Times New Roman"/>
          <w:kern w:val="0"/>
          <w:szCs w:val="24"/>
        </w:rPr>
        <w:t>people</w:t>
      </w:r>
      <w:r w:rsidR="00034669" w:rsidRPr="00885A57">
        <w:rPr>
          <w:rFonts w:ascii="Times New Roman" w:eastAsia="標楷體" w:hAnsi="Times New Roman" w:cs="Times New Roman"/>
          <w:szCs w:val="24"/>
        </w:rPr>
        <w:t xml:space="preserve"> with disabilities, and 8</w:t>
      </w:r>
      <w:r>
        <w:rPr>
          <w:rFonts w:ascii="Times New Roman" w:eastAsia="標楷體" w:hAnsi="Times New Roman" w:cs="Times New Roman"/>
          <w:szCs w:val="24"/>
        </w:rPr>
        <w:t xml:space="preserve"> percent</w:t>
      </w:r>
      <w:r w:rsidR="00034669" w:rsidRPr="00885A57">
        <w:rPr>
          <w:rFonts w:ascii="Times New Roman" w:eastAsia="標楷體" w:hAnsi="Times New Roman" w:cs="Times New Roman"/>
          <w:szCs w:val="24"/>
        </w:rPr>
        <w:t xml:space="preserve"> of child and youth protective cases involved CYDs. </w:t>
      </w:r>
      <w:r>
        <w:rPr>
          <w:rFonts w:ascii="Times New Roman" w:eastAsia="標楷體" w:hAnsi="Times New Roman" w:cs="Times New Roman"/>
          <w:szCs w:val="24"/>
        </w:rPr>
        <w:t>V</w:t>
      </w:r>
      <w:r w:rsidR="00034669" w:rsidRPr="00885A57">
        <w:rPr>
          <w:rFonts w:ascii="Times New Roman" w:eastAsia="標楷體" w:hAnsi="Times New Roman" w:cs="Times New Roman"/>
          <w:szCs w:val="24"/>
        </w:rPr>
        <w:t>ictims with disabilities of intimate partner violence</w:t>
      </w:r>
      <w:r>
        <w:rPr>
          <w:rFonts w:ascii="Times New Roman" w:eastAsia="標楷體" w:hAnsi="Times New Roman" w:cs="Times New Roman"/>
          <w:szCs w:val="24"/>
        </w:rPr>
        <w:t xml:space="preserve"> (mostly women)</w:t>
      </w:r>
      <w:r w:rsidR="00034669" w:rsidRPr="00885A57">
        <w:rPr>
          <w:rFonts w:ascii="Times New Roman" w:eastAsia="標楷體" w:hAnsi="Times New Roman" w:cs="Times New Roman"/>
          <w:szCs w:val="24"/>
        </w:rPr>
        <w:t xml:space="preserve"> accounted for 4.6</w:t>
      </w:r>
      <w:r>
        <w:rPr>
          <w:rFonts w:ascii="Times New Roman" w:eastAsia="標楷體" w:hAnsi="Times New Roman" w:cs="Times New Roman"/>
          <w:szCs w:val="24"/>
        </w:rPr>
        <w:t xml:space="preserve"> percent</w:t>
      </w:r>
      <w:r w:rsidR="00034669" w:rsidRPr="00885A57">
        <w:rPr>
          <w:rFonts w:ascii="Times New Roman" w:eastAsia="標楷體" w:hAnsi="Times New Roman" w:cs="Times New Roman"/>
          <w:szCs w:val="24"/>
        </w:rPr>
        <w:t xml:space="preserve"> of reported </w:t>
      </w:r>
      <w:r w:rsidR="00765BF6">
        <w:rPr>
          <w:rFonts w:ascii="Times New Roman" w:eastAsia="標楷體" w:hAnsi="Times New Roman" w:cs="Times New Roman"/>
          <w:szCs w:val="24"/>
        </w:rPr>
        <w:t>incidents</w:t>
      </w:r>
      <w:r w:rsidR="00034669" w:rsidRPr="00885A57">
        <w:rPr>
          <w:rFonts w:ascii="Times New Roman" w:eastAsia="標楷體" w:hAnsi="Times New Roman" w:cs="Times New Roman"/>
          <w:szCs w:val="24"/>
        </w:rPr>
        <w:t>; women with psychiatric disorders and intellectual disability are high</w:t>
      </w:r>
      <w:r w:rsidR="00597879">
        <w:rPr>
          <w:rFonts w:ascii="Times New Roman" w:eastAsia="標楷體" w:hAnsi="Times New Roman" w:cs="Times New Roman"/>
          <w:szCs w:val="24"/>
        </w:rPr>
        <w:t>-</w:t>
      </w:r>
      <w:r w:rsidR="00034669" w:rsidRPr="00885A57">
        <w:rPr>
          <w:rFonts w:ascii="Times New Roman" w:eastAsia="標楷體" w:hAnsi="Times New Roman" w:cs="Times New Roman"/>
          <w:szCs w:val="24"/>
        </w:rPr>
        <w:t xml:space="preserve">risk groups. Percentages of </w:t>
      </w:r>
      <w:r w:rsidR="00765BF6">
        <w:rPr>
          <w:rFonts w:ascii="Times New Roman" w:eastAsia="標楷體" w:hAnsi="Times New Roman" w:cs="Times New Roman"/>
          <w:szCs w:val="24"/>
        </w:rPr>
        <w:t xml:space="preserve">people </w:t>
      </w:r>
      <w:r w:rsidR="00034669" w:rsidRPr="00885A57">
        <w:rPr>
          <w:rFonts w:ascii="Times New Roman" w:eastAsia="標楷體" w:hAnsi="Times New Roman" w:cs="Times New Roman"/>
          <w:szCs w:val="24"/>
        </w:rPr>
        <w:t>with disabilities among reported protective cases between 2016 and 2019 are detailed in Table 16.1.</w:t>
      </w:r>
    </w:p>
    <w:p w14:paraId="0967EC32" w14:textId="12747F44" w:rsidR="007A5983" w:rsidRPr="00885A57" w:rsidRDefault="00765BF6"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Pr>
          <w:rFonts w:ascii="Times New Roman" w:eastAsia="標楷體" w:hAnsi="Times New Roman" w:cs="Times New Roman"/>
          <w:szCs w:val="24"/>
        </w:rPr>
        <w:t xml:space="preserve">To enable </w:t>
      </w:r>
      <w:r w:rsidR="00034669" w:rsidRPr="00885A57">
        <w:rPr>
          <w:rFonts w:ascii="Times New Roman" w:eastAsia="標楷體" w:hAnsi="Times New Roman" w:cs="Times New Roman"/>
          <w:kern w:val="0"/>
          <w:szCs w:val="24"/>
        </w:rPr>
        <w:t>people</w:t>
      </w:r>
      <w:r w:rsidR="00034669" w:rsidRPr="00885A57">
        <w:rPr>
          <w:rFonts w:ascii="Times New Roman" w:eastAsia="標楷體" w:hAnsi="Times New Roman" w:cs="Times New Roman"/>
          <w:szCs w:val="24"/>
        </w:rPr>
        <w:t xml:space="preserve"> with hearing or speech and language impairment to immediately receive necessary services, the 113 </w:t>
      </w:r>
      <w:r w:rsidR="00770568">
        <w:rPr>
          <w:rFonts w:ascii="Times New Roman" w:eastAsia="標楷體" w:hAnsi="Times New Roman" w:cs="Times New Roman"/>
          <w:szCs w:val="24"/>
        </w:rPr>
        <w:t xml:space="preserve">Children and Women </w:t>
      </w:r>
      <w:r w:rsidR="00034669" w:rsidRPr="00885A57">
        <w:rPr>
          <w:rFonts w:ascii="Times New Roman" w:eastAsia="標楷體" w:hAnsi="Times New Roman" w:cs="Times New Roman"/>
          <w:szCs w:val="24"/>
        </w:rPr>
        <w:t xml:space="preserve">Protection Hotline provides free-of-charge texting in emergencies. The MOHW requests local governments to continue developing and tailoring protection aids for domestic violence victims under various scenarios. In the event of family abuse, sexual assault, or a situation necessitating personal safety protection, </w:t>
      </w:r>
      <w:r w:rsidR="00034669" w:rsidRPr="00885A57">
        <w:rPr>
          <w:rFonts w:ascii="Times New Roman" w:eastAsia="標楷體" w:hAnsi="Times New Roman" w:cs="Times New Roman"/>
          <w:kern w:val="0"/>
          <w:szCs w:val="24"/>
        </w:rPr>
        <w:t>people</w:t>
      </w:r>
      <w:r w:rsidR="00034669" w:rsidRPr="00885A57">
        <w:rPr>
          <w:rFonts w:ascii="Times New Roman" w:eastAsia="標楷體" w:hAnsi="Times New Roman" w:cs="Times New Roman"/>
          <w:szCs w:val="24"/>
        </w:rPr>
        <w:t xml:space="preserve"> with disabilities can seek help from social administration departments or police offices nearby; social workers are then to evaluate the victim’s physical and mental status and needs and assist them by aligning relevant resources. For instance, shelters for such victims provide 24/7 services; in addition to private, public-private partnership, and public shelters, </w:t>
      </w:r>
      <w:r w:rsidR="000D2074" w:rsidRPr="00885A57">
        <w:rPr>
          <w:rFonts w:ascii="Times New Roman" w:eastAsia="標楷體" w:hAnsi="Times New Roman" w:cs="Times New Roman"/>
          <w:szCs w:val="24"/>
        </w:rPr>
        <w:t xml:space="preserve">victims may be sheltered in </w:t>
      </w:r>
      <w:r w:rsidR="00034669" w:rsidRPr="00885A57">
        <w:rPr>
          <w:rFonts w:ascii="Times New Roman" w:eastAsia="標楷體" w:hAnsi="Times New Roman" w:cs="Times New Roman"/>
          <w:szCs w:val="24"/>
        </w:rPr>
        <w:t>disability institutions, hospitals, or designated hotels by the government</w:t>
      </w:r>
      <w:r w:rsidR="000D2074" w:rsidRPr="00885A57">
        <w:rPr>
          <w:rFonts w:ascii="Times New Roman" w:eastAsia="標楷體" w:hAnsi="Times New Roman" w:cs="Times New Roman"/>
          <w:szCs w:val="24"/>
        </w:rPr>
        <w:t xml:space="preserve"> according to their personal situations</w:t>
      </w:r>
      <w:r w:rsidR="00034669" w:rsidRPr="00885A57">
        <w:rPr>
          <w:rFonts w:ascii="Times New Roman" w:eastAsia="標楷體" w:hAnsi="Times New Roman" w:cs="Times New Roman"/>
          <w:szCs w:val="24"/>
        </w:rPr>
        <w:t>.</w:t>
      </w:r>
    </w:p>
    <w:p w14:paraId="01A48B61" w14:textId="05B2A6BF" w:rsidR="00F35683" w:rsidRPr="00885A57" w:rsidRDefault="00034669" w:rsidP="00177293">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08" w:name="_Ref55910406"/>
      <w:r w:rsidRPr="00885A57">
        <w:rPr>
          <w:rFonts w:ascii="Times New Roman" w:eastAsia="標楷體" w:hAnsi="Times New Roman" w:cs="Times New Roman"/>
          <w:szCs w:val="24"/>
        </w:rPr>
        <w:t xml:space="preserve">In 2020, the draft of the </w:t>
      </w:r>
      <w:r w:rsidR="00770568">
        <w:rPr>
          <w:rFonts w:ascii="Times New Roman" w:eastAsia="標楷體" w:hAnsi="Times New Roman" w:cs="Times New Roman"/>
          <w:szCs w:val="24"/>
        </w:rPr>
        <w:t xml:space="preserve">amended </w:t>
      </w:r>
      <w:r w:rsidRPr="00885A57">
        <w:rPr>
          <w:rFonts w:ascii="Times New Roman" w:eastAsia="標楷體" w:hAnsi="Times New Roman" w:cs="Times New Roman"/>
          <w:szCs w:val="24"/>
        </w:rPr>
        <w:t>PDRPA</w:t>
      </w:r>
      <w:r w:rsidRPr="00885A57">
        <w:rPr>
          <w:rStyle w:val="ab"/>
          <w:rFonts w:ascii="Times New Roman" w:eastAsia="標楷體" w:hAnsi="Times New Roman" w:cs="Times New Roman"/>
        </w:rPr>
        <w:footnoteReference w:id="64"/>
      </w:r>
      <w:r w:rsidRPr="00885A57">
        <w:rPr>
          <w:rFonts w:ascii="Times New Roman" w:eastAsia="標楷體" w:hAnsi="Times New Roman" w:cs="Times New Roman"/>
          <w:szCs w:val="24"/>
        </w:rPr>
        <w:t xml:space="preserve"> </w:t>
      </w:r>
      <w:r w:rsidR="00D241D6">
        <w:rPr>
          <w:rFonts w:ascii="Times New Roman" w:eastAsia="標楷體" w:hAnsi="Times New Roman" w:cs="Times New Roman"/>
          <w:szCs w:val="24"/>
        </w:rPr>
        <w:t xml:space="preserve">included an addition that, </w:t>
      </w:r>
      <w:r w:rsidRPr="00885A57">
        <w:rPr>
          <w:rFonts w:ascii="Times New Roman" w:eastAsia="標楷體" w:hAnsi="Times New Roman" w:cs="Times New Roman"/>
          <w:szCs w:val="24"/>
        </w:rPr>
        <w:t xml:space="preserve">in the event that social welfare institutions discover that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under </w:t>
      </w:r>
      <w:r w:rsidRPr="00885A57">
        <w:rPr>
          <w:rFonts w:ascii="Times New Roman" w:eastAsia="標楷體" w:hAnsi="Times New Roman" w:cs="Times New Roman"/>
          <w:szCs w:val="24"/>
        </w:rPr>
        <w:lastRenderedPageBreak/>
        <w:t xml:space="preserve">their care </w:t>
      </w:r>
      <w:r w:rsidR="00D241D6">
        <w:rPr>
          <w:rFonts w:ascii="Times New Roman" w:eastAsia="標楷體" w:hAnsi="Times New Roman" w:cs="Times New Roman"/>
          <w:szCs w:val="24"/>
        </w:rPr>
        <w:t xml:space="preserve">have been abandoned or experience </w:t>
      </w:r>
      <w:r w:rsidRPr="00885A57">
        <w:rPr>
          <w:rFonts w:ascii="Times New Roman" w:eastAsia="標楷體" w:hAnsi="Times New Roman" w:cs="Times New Roman"/>
          <w:szCs w:val="24"/>
        </w:rPr>
        <w:t>physical or mental abuse</w:t>
      </w:r>
      <w:r w:rsidR="00D241D6">
        <w:rPr>
          <w:rFonts w:ascii="Times New Roman" w:eastAsia="標楷體" w:hAnsi="Times New Roman" w:cs="Times New Roman"/>
          <w:szCs w:val="24"/>
        </w:rPr>
        <w:t>, they</w:t>
      </w:r>
      <w:r w:rsidRPr="00885A57">
        <w:rPr>
          <w:rFonts w:ascii="Times New Roman" w:eastAsia="標楷體" w:hAnsi="Times New Roman" w:cs="Times New Roman"/>
          <w:szCs w:val="24"/>
        </w:rPr>
        <w:t xml:space="preserve"> shall report such circumstances to </w:t>
      </w:r>
      <w:r w:rsidR="00D241D6">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local competent authorities. Violators of said reporting regulation are subject to punishment. The Principles and Precautions Concerning Suspected Sexual Assault Incidents in Disabled Welfare Institutions were revised in 2019, mandating that regulated institutions make inquiry with local governments whether a candidate employee or volunteer has a record of having committed sexual assault. If </w:t>
      </w:r>
      <w:r w:rsidR="00D241D6">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competent authorities </w:t>
      </w:r>
      <w:r w:rsidR="00D241D6">
        <w:rPr>
          <w:rFonts w:ascii="Times New Roman" w:eastAsia="標楷體" w:hAnsi="Times New Roman" w:cs="Times New Roman"/>
          <w:szCs w:val="24"/>
        </w:rPr>
        <w:t xml:space="preserve">at </w:t>
      </w:r>
      <w:r w:rsidRPr="00885A57">
        <w:rPr>
          <w:rFonts w:ascii="Times New Roman" w:eastAsia="標楷體" w:hAnsi="Times New Roman" w:cs="Times New Roman"/>
          <w:szCs w:val="24"/>
        </w:rPr>
        <w:t xml:space="preserve">any level discover that the staff of an institution has committed violent crimes, sexual harassment, or sexual assault and pled guilty to a charge of disorderly conduct that severely infringed upon the rights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they shall—in accordance with the PDRPA—request the institution to suspend </w:t>
      </w:r>
      <w:r w:rsidR="00D241D6">
        <w:rPr>
          <w:rFonts w:ascii="Times New Roman" w:eastAsia="標楷體" w:hAnsi="Times New Roman" w:cs="Times New Roman"/>
          <w:szCs w:val="24"/>
        </w:rPr>
        <w:t xml:space="preserve">this staff member </w:t>
      </w:r>
      <w:r w:rsidRPr="00885A57">
        <w:rPr>
          <w:rFonts w:ascii="Times New Roman" w:eastAsia="標楷體" w:hAnsi="Times New Roman" w:cs="Times New Roman"/>
          <w:szCs w:val="24"/>
        </w:rPr>
        <w:t>and order the transfer, layoff, or retirement of such person</w:t>
      </w:r>
      <w:r w:rsidR="00D241D6">
        <w:rPr>
          <w:rFonts w:ascii="Times New Roman" w:eastAsia="標楷體" w:hAnsi="Times New Roman" w:cs="Times New Roman"/>
          <w:szCs w:val="24"/>
        </w:rPr>
        <w:t>s</w:t>
      </w:r>
      <w:r w:rsidRPr="00885A57">
        <w:rPr>
          <w:rFonts w:ascii="Times New Roman" w:eastAsia="標楷體" w:hAnsi="Times New Roman" w:cs="Times New Roman"/>
          <w:szCs w:val="24"/>
        </w:rPr>
        <w:t xml:space="preserve"> or the termination of their labor contract according to relevant provisions. If the staff </w:t>
      </w:r>
      <w:r w:rsidR="00D241D6">
        <w:rPr>
          <w:rFonts w:ascii="Times New Roman" w:eastAsia="標楷體" w:hAnsi="Times New Roman" w:cs="Times New Roman"/>
          <w:szCs w:val="24"/>
        </w:rPr>
        <w:t xml:space="preserve">member </w:t>
      </w:r>
      <w:r w:rsidRPr="00885A57">
        <w:rPr>
          <w:rFonts w:ascii="Times New Roman" w:eastAsia="標楷體" w:hAnsi="Times New Roman" w:cs="Times New Roman"/>
          <w:szCs w:val="24"/>
        </w:rPr>
        <w:t>is in charge of an institution, they shall no longer serve as the head of any disability institution.</w:t>
      </w:r>
      <w:bookmarkEnd w:id="108"/>
      <w:r w:rsidRPr="00885A57">
        <w:rPr>
          <w:rStyle w:val="ab"/>
          <w:rFonts w:ascii="Times New Roman" w:eastAsia="標楷體" w:hAnsi="Times New Roman" w:cs="Times New Roman"/>
        </w:rPr>
        <w:footnoteReference w:id="65"/>
      </w:r>
    </w:p>
    <w:p w14:paraId="7A6BBA24" w14:textId="7FD33BCD" w:rsidR="000363D7" w:rsidRPr="00885A57" w:rsidRDefault="00034669"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Social welfare, long-term care, and nursing institutions have established a reporting system for sexual assault and sexual harassment and conducted reporting training and promotional education for relevant personnel. To reinforce the expertise and reporting responsibility of staff of disabled welfare institutions, the </w:t>
      </w:r>
      <w:r w:rsidRPr="00885A57">
        <w:rPr>
          <w:rFonts w:ascii="Times New Roman" w:eastAsia="標楷體" w:hAnsi="Times New Roman" w:cs="Times New Roman"/>
          <w:bCs/>
          <w:szCs w:val="24"/>
        </w:rPr>
        <w:t xml:space="preserve">Assessment Indicators for Disabled Welfare Institutions specify that said institutions shall set up a prevention and reporting system for sexual assault incidents as well as include sexual assault prevention topics (including reporting) </w:t>
      </w:r>
      <w:r w:rsidRPr="00885A57">
        <w:rPr>
          <w:rFonts w:ascii="Times New Roman" w:eastAsia="標楷體" w:hAnsi="Times New Roman" w:cs="Times New Roman"/>
          <w:bCs/>
          <w:szCs w:val="24"/>
        </w:rPr>
        <w:lastRenderedPageBreak/>
        <w:t>in on-the-job and promotional training.</w:t>
      </w:r>
    </w:p>
    <w:p w14:paraId="764AEC8E" w14:textId="543B34FB" w:rsidR="00EC1DA1" w:rsidRPr="00885A57" w:rsidRDefault="00034669"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w:t>
      </w:r>
      <w:r w:rsidRPr="002153DE">
        <w:rPr>
          <w:rFonts w:ascii="Times New Roman" w:eastAsia="標楷體" w:hAnsi="Times New Roman" w:cs="Times New Roman"/>
          <w:iCs/>
          <w:szCs w:val="24"/>
        </w:rPr>
        <w:t>Regulations Governing Prevention and Control of Bullying on Campuses</w:t>
      </w:r>
      <w:r w:rsidRPr="00885A57">
        <w:rPr>
          <w:rFonts w:ascii="Times New Roman" w:eastAsia="標楷體" w:hAnsi="Times New Roman" w:cs="Times New Roman"/>
          <w:szCs w:val="24"/>
        </w:rPr>
        <w:t xml:space="preserve">, </w:t>
      </w:r>
      <w:r w:rsidRPr="002153DE">
        <w:rPr>
          <w:rFonts w:ascii="Times New Roman" w:eastAsia="標楷體" w:hAnsi="Times New Roman" w:cs="Times New Roman"/>
          <w:iCs/>
          <w:szCs w:val="24"/>
        </w:rPr>
        <w:t>Gender Equality Education Act</w:t>
      </w:r>
      <w:r w:rsidRPr="00885A57">
        <w:rPr>
          <w:rFonts w:ascii="Times New Roman" w:eastAsia="標楷體" w:hAnsi="Times New Roman" w:cs="Times New Roman"/>
          <w:szCs w:val="24"/>
        </w:rPr>
        <w:t xml:space="preserve">, and </w:t>
      </w:r>
      <w:r w:rsidRPr="002153DE">
        <w:rPr>
          <w:rFonts w:ascii="Times New Roman" w:eastAsia="標楷體" w:hAnsi="Times New Roman" w:cs="Times New Roman"/>
          <w:iCs/>
          <w:szCs w:val="24"/>
        </w:rPr>
        <w:t>Regulations on the Prevention and Handling of Sexual Assault, Sexual Harassment, or Sexual Bullying on Campus</w:t>
      </w:r>
      <w:r w:rsidRPr="00885A57">
        <w:rPr>
          <w:rFonts w:ascii="Times New Roman" w:eastAsia="標楷體" w:hAnsi="Times New Roman" w:cs="Times New Roman"/>
          <w:szCs w:val="24"/>
        </w:rPr>
        <w:t xml:space="preserve"> establish a prevention system and relevant measures, processing procedures, and remedies for addressing campus violence (bullying) and sexual violence incidents (including sexual violence) and </w:t>
      </w:r>
      <w:r w:rsidR="00D241D6">
        <w:rPr>
          <w:rFonts w:ascii="Times New Roman" w:eastAsia="標楷體" w:hAnsi="Times New Roman" w:cs="Times New Roman"/>
          <w:szCs w:val="24"/>
        </w:rPr>
        <w:t>require</w:t>
      </w:r>
      <w:r w:rsidR="00D241D6"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the reporting of a suspected incident within 24 hours of notice being given to the MOE-established Campus Security Report Center. In 2018, the MOE launched the Solution for Promoting Pilot Anti</w:t>
      </w:r>
      <w:r w:rsidR="00756DD8">
        <w:rPr>
          <w:rFonts w:ascii="Times New Roman" w:eastAsia="標楷體" w:hAnsi="Times New Roman" w:cs="Times New Roman"/>
          <w:szCs w:val="24"/>
        </w:rPr>
        <w:t>-</w:t>
      </w:r>
      <w:r w:rsidRPr="00885A57">
        <w:rPr>
          <w:rFonts w:ascii="Times New Roman" w:eastAsia="標楷體" w:hAnsi="Times New Roman" w:cs="Times New Roman"/>
          <w:szCs w:val="24"/>
        </w:rPr>
        <w:t>bullying Schools and promulgated the Implementation Plan of Campus Anti</w:t>
      </w:r>
      <w:r w:rsidR="00756DD8">
        <w:rPr>
          <w:rFonts w:ascii="Times New Roman" w:eastAsia="標楷體" w:hAnsi="Times New Roman" w:cs="Times New Roman"/>
          <w:szCs w:val="24"/>
        </w:rPr>
        <w:t>-</w:t>
      </w:r>
      <w:r w:rsidRPr="00885A57">
        <w:rPr>
          <w:rFonts w:ascii="Times New Roman" w:eastAsia="標楷體" w:hAnsi="Times New Roman" w:cs="Times New Roman"/>
          <w:szCs w:val="24"/>
        </w:rPr>
        <w:t xml:space="preserve">bullying in Schools </w:t>
      </w:r>
      <w:r w:rsidR="00117444">
        <w:rPr>
          <w:rFonts w:ascii="Times New Roman" w:eastAsia="標楷體" w:hAnsi="Times New Roman" w:cs="Times New Roman"/>
          <w:szCs w:val="24"/>
        </w:rPr>
        <w:t>at All levels</w:t>
      </w:r>
      <w:r w:rsidRPr="00885A57">
        <w:rPr>
          <w:rFonts w:ascii="Times New Roman" w:eastAsia="標楷體" w:hAnsi="Times New Roman" w:cs="Times New Roman"/>
          <w:szCs w:val="24"/>
        </w:rPr>
        <w:t xml:space="preserve">. In 2020, the MOE amended and enacted the </w:t>
      </w:r>
      <w:r w:rsidRPr="002153DE">
        <w:rPr>
          <w:rFonts w:ascii="Times New Roman" w:eastAsia="標楷體" w:hAnsi="Times New Roman" w:cs="Times New Roman"/>
          <w:iCs/>
          <w:szCs w:val="24"/>
        </w:rPr>
        <w:t>Regulations Governing Prevention and Control of Bullying on Campuses</w:t>
      </w:r>
      <w:r w:rsidRPr="00885A57">
        <w:rPr>
          <w:rFonts w:ascii="Times New Roman" w:eastAsia="標楷體" w:hAnsi="Times New Roman" w:cs="Times New Roman"/>
          <w:szCs w:val="24"/>
        </w:rPr>
        <w:t xml:space="preserve"> by considering principals and faculty as targets of regulation and expanding the enumerated types of campus bullying, thereby adapting the principles to current situations, establishing effective prevention mechanisms, and improving problem</w:t>
      </w:r>
      <w:r w:rsidR="001E047D">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solving </w:t>
      </w:r>
      <w:r w:rsidR="001E047D">
        <w:rPr>
          <w:rFonts w:ascii="Times New Roman" w:eastAsia="標楷體" w:hAnsi="Times New Roman" w:cs="Times New Roman"/>
          <w:szCs w:val="24"/>
        </w:rPr>
        <w:t xml:space="preserve">on </w:t>
      </w:r>
      <w:r w:rsidRPr="00885A57">
        <w:rPr>
          <w:rFonts w:ascii="Times New Roman" w:eastAsia="標楷體" w:hAnsi="Times New Roman" w:cs="Times New Roman"/>
          <w:szCs w:val="24"/>
        </w:rPr>
        <w:t xml:space="preserve">relevant issues. The MOE Gender Equality Education Committee sets an annual agenda and handles sexual violence incidents accordingly every year. Specifically, to prevent sexual incidences </w:t>
      </w:r>
      <w:r w:rsidR="000122D4">
        <w:rPr>
          <w:rFonts w:ascii="Times New Roman" w:eastAsia="標楷體" w:hAnsi="Times New Roman" w:cs="Times New Roman"/>
          <w:szCs w:val="24"/>
        </w:rPr>
        <w:t xml:space="preserve">on campus </w:t>
      </w:r>
      <w:r w:rsidRPr="00885A57">
        <w:rPr>
          <w:rFonts w:ascii="Times New Roman" w:eastAsia="標楷體" w:hAnsi="Times New Roman" w:cs="Times New Roman"/>
          <w:szCs w:val="24"/>
        </w:rPr>
        <w:t xml:space="preserve">and promote effective investigations of such, the MOE hosts roughly eight training sessions for professionals every year, which attract 500 participants on average, and includes those completing the training in a talent pool. The number of trainees with </w:t>
      </w:r>
      <w:r w:rsidR="006F1055">
        <w:rPr>
          <w:rFonts w:ascii="Times New Roman" w:eastAsia="標楷體" w:hAnsi="Times New Roman" w:cs="Times New Roman"/>
          <w:szCs w:val="24"/>
        </w:rPr>
        <w:t xml:space="preserve">a </w:t>
      </w:r>
      <w:r w:rsidRPr="00885A57">
        <w:rPr>
          <w:rFonts w:ascii="Times New Roman" w:eastAsia="標楷體" w:hAnsi="Times New Roman" w:cs="Times New Roman"/>
          <w:szCs w:val="24"/>
        </w:rPr>
        <w:t xml:space="preserve">special education background has increased by 50 annually on average. For sexual violence incident prevention and school-based </w:t>
      </w:r>
      <w:r w:rsidRPr="00885A57">
        <w:rPr>
          <w:rFonts w:ascii="Times New Roman" w:eastAsia="標楷體" w:hAnsi="Times New Roman" w:cs="Times New Roman"/>
          <w:szCs w:val="24"/>
        </w:rPr>
        <w:lastRenderedPageBreak/>
        <w:t>curricula/solutions in special education schools, please refer to Article 7</w:t>
      </w:r>
      <w:r w:rsidR="006F1055">
        <w:rPr>
          <w:rFonts w:ascii="Times New Roman" w:eastAsia="標楷體" w:hAnsi="Times New Roman" w:cs="Times New Roman"/>
          <w:szCs w:val="24"/>
        </w:rPr>
        <w:t xml:space="preserve">: </w:t>
      </w:r>
      <w:r w:rsidR="000122D4">
        <w:rPr>
          <w:rFonts w:ascii="Times New Roman" w:eastAsia="標楷體" w:hAnsi="Times New Roman" w:cs="Times New Roman"/>
          <w:szCs w:val="24"/>
        </w:rPr>
        <w:t>C</w:t>
      </w:r>
      <w:r w:rsidRPr="00885A57">
        <w:rPr>
          <w:rFonts w:ascii="Times New Roman" w:eastAsia="標楷體" w:hAnsi="Times New Roman" w:cs="Times New Roman"/>
          <w:szCs w:val="24"/>
        </w:rPr>
        <w:t xml:space="preserve">hildren with </w:t>
      </w:r>
      <w:r w:rsidR="000122D4">
        <w:rPr>
          <w:rFonts w:ascii="Times New Roman" w:eastAsia="標楷體" w:hAnsi="Times New Roman" w:cs="Times New Roman"/>
          <w:szCs w:val="24"/>
        </w:rPr>
        <w:t>D</w:t>
      </w:r>
      <w:r w:rsidR="000122D4" w:rsidRPr="00885A57">
        <w:rPr>
          <w:rFonts w:ascii="Times New Roman" w:eastAsia="標楷體" w:hAnsi="Times New Roman" w:cs="Times New Roman"/>
          <w:szCs w:val="24"/>
        </w:rPr>
        <w:t xml:space="preserve">isabilities </w:t>
      </w:r>
      <w:r w:rsidR="006F1055">
        <w:rPr>
          <w:rFonts w:ascii="Times New Roman" w:eastAsia="標楷體" w:hAnsi="Times New Roman" w:cs="Times New Roman"/>
          <w:szCs w:val="24"/>
        </w:rPr>
        <w:t>(Point</w:t>
      </w:r>
      <w:r w:rsidR="006F1055"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fldChar w:fldCharType="begin"/>
      </w:r>
      <w:r w:rsidRPr="00885A57">
        <w:rPr>
          <w:rFonts w:ascii="Times New Roman" w:eastAsia="標楷體" w:hAnsi="Times New Roman" w:cs="Times New Roman"/>
          <w:szCs w:val="24"/>
        </w:rPr>
        <w:instrText xml:space="preserve"> REF _Ref46414632 \r \h  \* MERGEFORMAT </w:instrText>
      </w:r>
      <w:r w:rsidRPr="00885A57">
        <w:rPr>
          <w:rFonts w:ascii="Times New Roman" w:eastAsia="標楷體" w:hAnsi="Times New Roman" w:cs="Times New Roman"/>
          <w:szCs w:val="24"/>
        </w:rPr>
      </w:r>
      <w:r w:rsidRPr="00885A57">
        <w:rPr>
          <w:rFonts w:ascii="Times New Roman" w:eastAsia="標楷體" w:hAnsi="Times New Roman" w:cs="Times New Roman"/>
          <w:szCs w:val="24"/>
        </w:rPr>
        <w:fldChar w:fldCharType="separate"/>
      </w:r>
      <w:r w:rsidR="00F00A73">
        <w:rPr>
          <w:rFonts w:ascii="Times New Roman" w:eastAsia="標楷體" w:hAnsi="Times New Roman" w:cs="Times New Roman"/>
          <w:szCs w:val="24"/>
        </w:rPr>
        <w:t>46</w:t>
      </w:r>
      <w:r w:rsidRPr="00885A57">
        <w:rPr>
          <w:rFonts w:ascii="Times New Roman" w:eastAsia="標楷體" w:hAnsi="Times New Roman" w:cs="Times New Roman"/>
          <w:szCs w:val="24"/>
        </w:rPr>
        <w:fldChar w:fldCharType="end"/>
      </w:r>
      <w:r w:rsidR="009B2EBA" w:rsidRPr="00885A57">
        <w:rPr>
          <w:rFonts w:ascii="Times New Roman" w:hAnsi="Times New Roman" w:cs="Times New Roman"/>
        </w:rPr>
        <w:t>(2</w:t>
      </w:r>
      <w:r w:rsidR="006F1055" w:rsidRPr="00885A57">
        <w:rPr>
          <w:rFonts w:ascii="Times New Roman" w:hAnsi="Times New Roman" w:cs="Times New Roman"/>
        </w:rPr>
        <w:t>)</w:t>
      </w:r>
      <w:r w:rsidR="006F1055">
        <w:rPr>
          <w:rFonts w:ascii="Times New Roman" w:eastAsia="標楷體" w:hAnsi="Times New Roman" w:cs="Times New Roman"/>
          <w:szCs w:val="24"/>
        </w:rPr>
        <w:t>)</w:t>
      </w:r>
      <w:r w:rsidR="006F1055" w:rsidRPr="00885A57">
        <w:rPr>
          <w:rFonts w:ascii="Times New Roman" w:eastAsia="標楷體" w:hAnsi="Times New Roman" w:cs="Times New Roman"/>
          <w:szCs w:val="24"/>
        </w:rPr>
        <w:t>.</w:t>
      </w:r>
    </w:p>
    <w:p w14:paraId="145CC97F" w14:textId="7E6C5F97" w:rsidR="00BE5F50" w:rsidRPr="00885A57" w:rsidRDefault="00034669"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Gender equality and sexual violence training</w:t>
      </w:r>
      <w:r w:rsidRPr="00885A57">
        <w:rPr>
          <w:rStyle w:val="ab"/>
          <w:rFonts w:ascii="Times New Roman" w:eastAsia="標楷體" w:hAnsi="Times New Roman" w:cs="Times New Roman"/>
        </w:rPr>
        <w:footnoteReference w:id="66"/>
      </w:r>
      <w:r w:rsidRPr="00885A57">
        <w:rPr>
          <w:rFonts w:ascii="Times New Roman" w:eastAsia="標楷體" w:hAnsi="Times New Roman" w:cs="Times New Roman"/>
          <w:szCs w:val="24"/>
        </w:rPr>
        <w:t xml:space="preserve"> programs for judicial, police, medical, and social work personnel are as follows:</w:t>
      </w:r>
    </w:p>
    <w:p w14:paraId="42CD208B" w14:textId="65C3C3FE" w:rsidR="0060557B" w:rsidRPr="00885A57" w:rsidRDefault="0060557B" w:rsidP="001A2139">
      <w:pPr>
        <w:pStyle w:val="a7"/>
        <w:numPr>
          <w:ilvl w:val="0"/>
          <w:numId w:val="13"/>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increase human rights expertise and gender awareness among judicial personnel, professional courses related to special consultations for people with disabilities are included in orientation and on-the-job training centers for judges, associate judicial officers, </w:t>
      </w:r>
      <w:r w:rsidR="000122D4">
        <w:rPr>
          <w:rFonts w:ascii="Times New Roman" w:eastAsia="標楷體" w:hAnsi="Times New Roman" w:cs="Times New Roman"/>
          <w:szCs w:val="24"/>
        </w:rPr>
        <w:t xml:space="preserve">notaries </w:t>
      </w:r>
      <w:r w:rsidRPr="00885A57">
        <w:rPr>
          <w:rFonts w:ascii="Times New Roman" w:eastAsia="標楷體" w:hAnsi="Times New Roman" w:cs="Times New Roman"/>
          <w:szCs w:val="24"/>
        </w:rPr>
        <w:t xml:space="preserve">public, investigation and protection officers of juvenile matters, court clerks, court police, clerk assistants, court attendants, psychological test specialists, </w:t>
      </w:r>
      <w:r w:rsidR="000122D4" w:rsidRPr="00885A57">
        <w:rPr>
          <w:rFonts w:ascii="Times New Roman" w:eastAsia="標楷體" w:hAnsi="Times New Roman" w:cs="Times New Roman"/>
          <w:szCs w:val="24"/>
        </w:rPr>
        <w:t>psycholog</w:t>
      </w:r>
      <w:r w:rsidR="000122D4">
        <w:rPr>
          <w:rFonts w:ascii="Times New Roman" w:eastAsia="標楷體" w:hAnsi="Times New Roman" w:cs="Times New Roman"/>
          <w:szCs w:val="24"/>
        </w:rPr>
        <w:t>ical</w:t>
      </w:r>
      <w:r w:rsidR="000122D4"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counselors, administrative personnel, and mediators. These courses introduce </w:t>
      </w:r>
      <w:r w:rsidR="000122D4">
        <w:rPr>
          <w:rFonts w:ascii="Times New Roman" w:eastAsia="標楷體" w:hAnsi="Times New Roman" w:cs="Times New Roman"/>
          <w:szCs w:val="24"/>
        </w:rPr>
        <w:t xml:space="preserve">the </w:t>
      </w:r>
      <w:r w:rsidRPr="00885A57">
        <w:rPr>
          <w:rFonts w:ascii="Times New Roman" w:eastAsia="標楷體" w:hAnsi="Times New Roman" w:cs="Times New Roman"/>
          <w:szCs w:val="24"/>
        </w:rPr>
        <w:t>trauma responses of sexual assault victims with disabilities, consultation practices, and communication essentials, aiming to improve consultation competences of said personnel. The Judges Academy offered 192 gender awareness courses between 2016 and 2019, with a total of 10,049 participants.</w:t>
      </w:r>
    </w:p>
    <w:p w14:paraId="52663B4D" w14:textId="203AD7E5" w:rsidR="0060557B" w:rsidRPr="00885A57" w:rsidRDefault="0060557B" w:rsidP="001A2139">
      <w:pPr>
        <w:pStyle w:val="a7"/>
        <w:numPr>
          <w:ilvl w:val="0"/>
          <w:numId w:val="13"/>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processing of sexual violence incidents involving children with disabilities is related to collaboration between social administration, police, educational, judicial, and youth correctional systems. To increase gender sensitivity toward children and underprivileged victims among relevant professionals, the Judges Academy hosted courses and workshops </w:t>
      </w:r>
      <w:r w:rsidR="003F7AC1">
        <w:rPr>
          <w:rFonts w:ascii="Times New Roman" w:eastAsia="標楷體" w:hAnsi="Times New Roman" w:cs="Times New Roman"/>
          <w:szCs w:val="24"/>
        </w:rPr>
        <w:t xml:space="preserve">on </w:t>
      </w:r>
      <w:r w:rsidRPr="00885A57">
        <w:rPr>
          <w:rFonts w:ascii="Times New Roman" w:eastAsia="標楷體" w:hAnsi="Times New Roman" w:cs="Times New Roman"/>
          <w:szCs w:val="24"/>
        </w:rPr>
        <w:t xml:space="preserve">juvenile case interrogation skills for judges in 2019. </w:t>
      </w:r>
      <w:r w:rsidR="003F7AC1">
        <w:rPr>
          <w:rFonts w:ascii="Times New Roman" w:eastAsia="標楷體" w:hAnsi="Times New Roman" w:cs="Times New Roman"/>
          <w:szCs w:val="24"/>
        </w:rPr>
        <w:t>For the period 2016-2019</w:t>
      </w:r>
      <w:r w:rsidRPr="00885A57">
        <w:rPr>
          <w:rFonts w:ascii="Times New Roman" w:eastAsia="標楷體" w:hAnsi="Times New Roman" w:cs="Times New Roman"/>
          <w:szCs w:val="24"/>
        </w:rPr>
        <w:t xml:space="preserve">, 22 basic and nine advanced Training </w:t>
      </w:r>
      <w:r w:rsidRPr="00885A57">
        <w:rPr>
          <w:rFonts w:ascii="Times New Roman" w:eastAsia="標楷體" w:hAnsi="Times New Roman" w:cs="Times New Roman"/>
          <w:szCs w:val="24"/>
        </w:rPr>
        <w:lastRenderedPageBreak/>
        <w:t>Courses for Professionals on Women and Children Safety were held, with 1,041 and 427 attendants, respectively. At present, 241 out of 256 domestic violence prevention officers (94</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in 161 police precincts and 215 out of 469 members (46</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from the Women’s and Children’s Protection Division (including personnel, accounting, and general affairs officers) have completed basic training.</w:t>
      </w:r>
    </w:p>
    <w:p w14:paraId="36FDEBC4" w14:textId="7519E29A" w:rsidR="0060557B" w:rsidRPr="00885A57" w:rsidRDefault="0060557B" w:rsidP="001A2139">
      <w:pPr>
        <w:pStyle w:val="a7"/>
        <w:numPr>
          <w:ilvl w:val="0"/>
          <w:numId w:val="13"/>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improve police officers’ competence in transcribing police interrogations </w:t>
      </w:r>
      <w:r w:rsidR="003F7AC1">
        <w:rPr>
          <w:rFonts w:ascii="Times New Roman" w:eastAsia="標楷體" w:hAnsi="Times New Roman" w:cs="Times New Roman"/>
          <w:szCs w:val="24"/>
        </w:rPr>
        <w:t xml:space="preserve">involving </w:t>
      </w:r>
      <w:r w:rsidRPr="00885A57">
        <w:rPr>
          <w:rFonts w:ascii="Times New Roman" w:eastAsia="標楷體" w:hAnsi="Times New Roman" w:cs="Times New Roman"/>
          <w:szCs w:val="24"/>
        </w:rPr>
        <w:t xml:space="preserve">child victims and victims with mental disorders </w:t>
      </w:r>
      <w:r w:rsidR="003F7AC1">
        <w:rPr>
          <w:rFonts w:ascii="Times New Roman" w:eastAsia="標楷體" w:hAnsi="Times New Roman" w:cs="Times New Roman"/>
          <w:szCs w:val="24"/>
        </w:rPr>
        <w:t xml:space="preserve">related to </w:t>
      </w:r>
      <w:r w:rsidRPr="00885A57">
        <w:rPr>
          <w:rFonts w:ascii="Times New Roman" w:eastAsia="標楷體" w:hAnsi="Times New Roman" w:cs="Times New Roman"/>
          <w:szCs w:val="24"/>
        </w:rPr>
        <w:t>sexual assault, police authority personnel were recommended to attend the judicial interview training organized by the MOHW in 2017. Among approximately 1,944 sexual assault case officers, 213 completed the training (11</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The MOI training and certification projects were launched in 2018, </w:t>
      </w:r>
      <w:r w:rsidR="003F7AC1">
        <w:rPr>
          <w:rFonts w:ascii="Times New Roman" w:eastAsia="標楷體" w:hAnsi="Times New Roman" w:cs="Times New Roman"/>
          <w:szCs w:val="24"/>
        </w:rPr>
        <w:t>since when</w:t>
      </w:r>
      <w:r w:rsidRPr="00885A57">
        <w:rPr>
          <w:rFonts w:ascii="Times New Roman" w:eastAsia="標楷體" w:hAnsi="Times New Roman" w:cs="Times New Roman"/>
          <w:szCs w:val="24"/>
        </w:rPr>
        <w:t xml:space="preserve"> relevant training has been held twice every year. A total of 100 sexual assault case officers from police authorities have been trained, with the intention that the judicial rights of victims of sexual violence and other underprivileged groups will be safeguarded.</w:t>
      </w:r>
    </w:p>
    <w:p w14:paraId="464A7C2B" w14:textId="0DCB0C87" w:rsidR="0060557B" w:rsidRPr="00885A57" w:rsidRDefault="0060557B" w:rsidP="001A2139">
      <w:pPr>
        <w:pStyle w:val="a7"/>
        <w:numPr>
          <w:ilvl w:val="0"/>
          <w:numId w:val="13"/>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Centralized training is conducted annually for qualified public social workers, including courses on the </w:t>
      </w:r>
      <w:r w:rsidRPr="00F370E0">
        <w:rPr>
          <w:rFonts w:ascii="Times New Roman" w:eastAsia="標楷體" w:hAnsi="Times New Roman" w:cs="Times New Roman"/>
          <w:szCs w:val="24"/>
        </w:rPr>
        <w:t>Domestic Violence Prevention Act</w:t>
      </w:r>
      <w:r w:rsidRPr="00885A57">
        <w:rPr>
          <w:rFonts w:ascii="Times New Roman" w:eastAsia="標楷體" w:hAnsi="Times New Roman" w:cs="Times New Roman"/>
          <w:szCs w:val="24"/>
        </w:rPr>
        <w:t xml:space="preserve"> and </w:t>
      </w:r>
      <w:r w:rsidRPr="00537224">
        <w:rPr>
          <w:rFonts w:ascii="Times New Roman" w:eastAsia="標楷體" w:hAnsi="Times New Roman" w:cs="Times New Roman"/>
          <w:szCs w:val="24"/>
        </w:rPr>
        <w:t>civil protection order</w:t>
      </w:r>
      <w:r w:rsidR="00537224">
        <w:rPr>
          <w:rFonts w:ascii="Times New Roman" w:eastAsia="標楷體" w:hAnsi="Times New Roman" w:cs="Times New Roman"/>
          <w:szCs w:val="24"/>
        </w:rPr>
        <w:t>s</w:t>
      </w:r>
      <w:r w:rsidRPr="00885A57">
        <w:rPr>
          <w:rFonts w:ascii="Times New Roman" w:eastAsia="標楷體" w:hAnsi="Times New Roman" w:cs="Times New Roman"/>
          <w:szCs w:val="24"/>
        </w:rPr>
        <w:t xml:space="preserve">, laws and practices </w:t>
      </w:r>
      <w:r w:rsidR="00360069">
        <w:rPr>
          <w:rFonts w:ascii="Times New Roman" w:eastAsia="標楷體" w:hAnsi="Times New Roman" w:cs="Times New Roman"/>
          <w:szCs w:val="24"/>
        </w:rPr>
        <w:t xml:space="preserve">on </w:t>
      </w:r>
      <w:r w:rsidRPr="00885A57">
        <w:rPr>
          <w:rFonts w:ascii="Times New Roman" w:eastAsia="標楷體" w:hAnsi="Times New Roman" w:cs="Times New Roman"/>
          <w:szCs w:val="24"/>
        </w:rPr>
        <w:t>sexual assault and sexual exploitation prevention, and women’s welfare and gender equality (including CEDAW) and relevant practices</w:t>
      </w:r>
      <w:r w:rsidR="00360069">
        <w:rPr>
          <w:rFonts w:ascii="Times New Roman" w:eastAsia="標楷體" w:hAnsi="Times New Roman" w:cs="Times New Roman"/>
          <w:szCs w:val="24"/>
        </w:rPr>
        <w:t>. These</w:t>
      </w:r>
      <w:r w:rsidRPr="00885A57">
        <w:rPr>
          <w:rFonts w:ascii="Times New Roman" w:eastAsia="標楷體" w:hAnsi="Times New Roman" w:cs="Times New Roman"/>
          <w:szCs w:val="24"/>
        </w:rPr>
        <w:t xml:space="preserve"> training programs are intended to develop social workers’ </w:t>
      </w:r>
      <w:r w:rsidR="00360069">
        <w:rPr>
          <w:rFonts w:ascii="Times New Roman" w:eastAsia="標楷體" w:hAnsi="Times New Roman" w:cs="Times New Roman"/>
          <w:szCs w:val="24"/>
        </w:rPr>
        <w:t xml:space="preserve">understanding </w:t>
      </w:r>
      <w:r w:rsidRPr="00885A57">
        <w:rPr>
          <w:rFonts w:ascii="Times New Roman" w:eastAsia="標楷體" w:hAnsi="Times New Roman" w:cs="Times New Roman"/>
          <w:szCs w:val="24"/>
        </w:rPr>
        <w:t xml:space="preserve">of violence problems, reporting, and gender equality. </w:t>
      </w:r>
      <w:r w:rsidR="00360069">
        <w:rPr>
          <w:rFonts w:ascii="Times New Roman" w:eastAsia="標楷體" w:hAnsi="Times New Roman" w:cs="Times New Roman"/>
          <w:szCs w:val="24"/>
        </w:rPr>
        <w:t>For the period 2016-</w:t>
      </w:r>
      <w:r w:rsidRPr="00885A57">
        <w:rPr>
          <w:rFonts w:ascii="Times New Roman" w:eastAsia="標楷體" w:hAnsi="Times New Roman" w:cs="Times New Roman"/>
          <w:szCs w:val="24"/>
        </w:rPr>
        <w:t xml:space="preserve">2019, a total of seven training sessions were held with 551 </w:t>
      </w:r>
      <w:r w:rsidR="00537224">
        <w:rPr>
          <w:rFonts w:ascii="Times New Roman" w:eastAsia="標楷體" w:hAnsi="Times New Roman" w:cs="Times New Roman"/>
          <w:szCs w:val="24"/>
        </w:rPr>
        <w:t xml:space="preserve">persons </w:t>
      </w:r>
      <w:r w:rsidR="00537224">
        <w:rPr>
          <w:rFonts w:ascii="Times New Roman" w:eastAsia="標楷體" w:hAnsi="Times New Roman" w:cs="Times New Roman"/>
          <w:szCs w:val="24"/>
        </w:rPr>
        <w:lastRenderedPageBreak/>
        <w:t xml:space="preserve">attending </w:t>
      </w:r>
      <w:r w:rsidRPr="00885A57">
        <w:rPr>
          <w:rFonts w:ascii="Times New Roman" w:eastAsia="標楷體" w:hAnsi="Times New Roman" w:cs="Times New Roman"/>
          <w:szCs w:val="24"/>
        </w:rPr>
        <w:t>(Table 16.2).</w:t>
      </w:r>
    </w:p>
    <w:p w14:paraId="328A5FC7" w14:textId="1663EB16" w:rsidR="0060557B" w:rsidRPr="00885A57" w:rsidRDefault="0060557B" w:rsidP="001A2139">
      <w:pPr>
        <w:pStyle w:val="a7"/>
        <w:numPr>
          <w:ilvl w:val="0"/>
          <w:numId w:val="13"/>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MOHW </w:t>
      </w:r>
      <w:r w:rsidR="00360069">
        <w:rPr>
          <w:rFonts w:ascii="Times New Roman" w:eastAsia="標楷體" w:hAnsi="Times New Roman" w:cs="Times New Roman"/>
          <w:szCs w:val="24"/>
        </w:rPr>
        <w:t xml:space="preserve">requires </w:t>
      </w:r>
      <w:r w:rsidRPr="00885A57">
        <w:rPr>
          <w:rFonts w:ascii="Times New Roman" w:eastAsia="標楷體" w:hAnsi="Times New Roman" w:cs="Times New Roman"/>
          <w:szCs w:val="24"/>
        </w:rPr>
        <w:t xml:space="preserve">institutional staff to receive training </w:t>
      </w:r>
      <w:r w:rsidR="00360069">
        <w:rPr>
          <w:rFonts w:ascii="Times New Roman" w:eastAsia="標楷體" w:hAnsi="Times New Roman" w:cs="Times New Roman"/>
          <w:szCs w:val="24"/>
        </w:rPr>
        <w:t xml:space="preserve">on </w:t>
      </w:r>
      <w:r w:rsidRPr="00885A57">
        <w:rPr>
          <w:rFonts w:ascii="Times New Roman" w:eastAsia="標楷體" w:hAnsi="Times New Roman" w:cs="Times New Roman"/>
          <w:szCs w:val="24"/>
        </w:rPr>
        <w:t>sexual assault prevention once every year, devised the Practice Handbook on Three</w:t>
      </w:r>
      <w:r w:rsidR="003F6195">
        <w:rPr>
          <w:rFonts w:ascii="Times New Roman" w:eastAsia="標楷體" w:hAnsi="Times New Roman" w:cs="Times New Roman" w:hint="eastAsia"/>
          <w:szCs w:val="24"/>
        </w:rPr>
        <w:t xml:space="preserve"> </w:t>
      </w:r>
      <w:r w:rsidRPr="00885A57">
        <w:rPr>
          <w:rFonts w:ascii="Times New Roman" w:eastAsia="標楷體" w:hAnsi="Times New Roman" w:cs="Times New Roman"/>
          <w:szCs w:val="24"/>
        </w:rPr>
        <w:t xml:space="preserve">Level Prevention of Sexual Assault Incidents in Disabled Welfare Institutions in 2018, and commissioned the </w:t>
      </w:r>
      <w:r w:rsidR="00360069">
        <w:rPr>
          <w:rFonts w:ascii="Times New Roman" w:eastAsia="標楷體" w:hAnsi="Times New Roman" w:cs="Times New Roman"/>
          <w:szCs w:val="24"/>
        </w:rPr>
        <w:t xml:space="preserve">holding </w:t>
      </w:r>
      <w:r w:rsidRPr="00885A57">
        <w:rPr>
          <w:rFonts w:ascii="Times New Roman" w:eastAsia="標楷體" w:hAnsi="Times New Roman" w:cs="Times New Roman"/>
          <w:szCs w:val="24"/>
        </w:rPr>
        <w:t xml:space="preserve">of 11 training sessions for institutional staff in 2019. In 2020, the MOHW commissioned the compilation of the </w:t>
      </w:r>
      <w:r w:rsidR="00931A86">
        <w:rPr>
          <w:rFonts w:ascii="Times New Roman" w:eastAsia="標楷體" w:hAnsi="Times New Roman" w:cs="Times New Roman"/>
          <w:szCs w:val="24"/>
        </w:rPr>
        <w:t>easy-to-read</w:t>
      </w:r>
      <w:r w:rsidRPr="00885A57">
        <w:rPr>
          <w:rFonts w:ascii="Times New Roman" w:eastAsia="標楷體" w:hAnsi="Times New Roman" w:cs="Times New Roman"/>
          <w:szCs w:val="24"/>
        </w:rPr>
        <w:t xml:space="preserve"> version of the Practice Handbook on Primary Prevention of Sexual Assault Incidents in Disabled Welfare Institutions as well as the implementation of a pilot project </w:t>
      </w:r>
      <w:r w:rsidR="00360069">
        <w:rPr>
          <w:rFonts w:ascii="Times New Roman" w:eastAsia="標楷體" w:hAnsi="Times New Roman" w:cs="Times New Roman"/>
          <w:szCs w:val="24"/>
        </w:rPr>
        <w:t>aimed at empowering di</w:t>
      </w:r>
      <w:r w:rsidRPr="00885A57">
        <w:rPr>
          <w:rFonts w:ascii="Times New Roman" w:eastAsia="標楷體" w:hAnsi="Times New Roman" w:cs="Times New Roman"/>
          <w:szCs w:val="24"/>
        </w:rPr>
        <w:t xml:space="preserve">sabled welfare institutions </w:t>
      </w:r>
      <w:r w:rsidR="00360069">
        <w:rPr>
          <w:rFonts w:ascii="Times New Roman" w:eastAsia="標楷體" w:hAnsi="Times New Roman" w:cs="Times New Roman"/>
          <w:szCs w:val="24"/>
        </w:rPr>
        <w:t xml:space="preserve">to develop </w:t>
      </w:r>
      <w:r w:rsidRPr="00885A57">
        <w:rPr>
          <w:rFonts w:ascii="Times New Roman" w:eastAsia="標楷體" w:hAnsi="Times New Roman" w:cs="Times New Roman"/>
          <w:szCs w:val="24"/>
        </w:rPr>
        <w:t xml:space="preserve">teaching materials on sexual assault primary prevention to improve said institutions’ competencies in tailoring teaching materials on sexual assault prevention for various </w:t>
      </w:r>
      <w:r w:rsidR="00124461" w:rsidRPr="00885A57">
        <w:rPr>
          <w:rFonts w:ascii="Times New Roman" w:eastAsia="標楷體" w:hAnsi="Times New Roman" w:cs="Times New Roman"/>
          <w:szCs w:val="24"/>
        </w:rPr>
        <w:t>people with</w:t>
      </w:r>
      <w:r w:rsidRPr="00885A57">
        <w:rPr>
          <w:rFonts w:ascii="Times New Roman" w:eastAsia="標楷體" w:hAnsi="Times New Roman" w:cs="Times New Roman"/>
          <w:szCs w:val="24"/>
        </w:rPr>
        <w:t xml:space="preserve"> disabilities. In 2019, the MOHW published the Handbook o</w:t>
      </w:r>
      <w:r w:rsidR="00537224">
        <w:rPr>
          <w:rFonts w:ascii="Times New Roman" w:eastAsia="標楷體" w:hAnsi="Times New Roman" w:cs="Times New Roman"/>
          <w:szCs w:val="24"/>
        </w:rPr>
        <w:t>n</w:t>
      </w:r>
      <w:r w:rsidRPr="00885A57">
        <w:rPr>
          <w:rFonts w:ascii="Times New Roman" w:eastAsia="標楷體" w:hAnsi="Times New Roman" w:cs="Times New Roman"/>
          <w:szCs w:val="24"/>
        </w:rPr>
        <w:t xml:space="preserve"> Sexual Assault Prevention in Child and Youth Placement and Educational Institutions, </w:t>
      </w:r>
      <w:r w:rsidR="00360069">
        <w:rPr>
          <w:rFonts w:ascii="Times New Roman" w:eastAsia="標楷體" w:hAnsi="Times New Roman" w:cs="Times New Roman"/>
          <w:szCs w:val="24"/>
        </w:rPr>
        <w:t xml:space="preserve">and </w:t>
      </w:r>
      <w:r w:rsidRPr="00885A57">
        <w:rPr>
          <w:rFonts w:ascii="Times New Roman" w:eastAsia="標楷體" w:hAnsi="Times New Roman" w:cs="Times New Roman"/>
          <w:szCs w:val="24"/>
        </w:rPr>
        <w:t xml:space="preserve">hosted six training sessions for institutional staff </w:t>
      </w:r>
      <w:r w:rsidR="00360069">
        <w:rPr>
          <w:rFonts w:ascii="Times New Roman" w:eastAsia="標楷體" w:hAnsi="Times New Roman" w:cs="Times New Roman"/>
          <w:szCs w:val="24"/>
        </w:rPr>
        <w:t xml:space="preserve">that </w:t>
      </w:r>
      <w:r w:rsidRPr="00885A57">
        <w:rPr>
          <w:rFonts w:ascii="Times New Roman" w:eastAsia="標楷體" w:hAnsi="Times New Roman" w:cs="Times New Roman"/>
          <w:szCs w:val="24"/>
        </w:rPr>
        <w:t>attracted 732 attendants, yielding training coverage of 43.8</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w:t>
      </w:r>
    </w:p>
    <w:p w14:paraId="01892D30" w14:textId="00F3EE27" w:rsidR="0060557B" w:rsidRPr="00885A57" w:rsidRDefault="0060557B" w:rsidP="001A2139">
      <w:pPr>
        <w:pStyle w:val="a7"/>
        <w:numPr>
          <w:ilvl w:val="0"/>
          <w:numId w:val="13"/>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cultivate long-term care talents, the </w:t>
      </w:r>
      <w:r w:rsidRPr="002153DE">
        <w:rPr>
          <w:rFonts w:ascii="Times New Roman" w:eastAsia="標楷體" w:hAnsi="Times New Roman" w:cs="Times New Roman"/>
          <w:iCs/>
          <w:szCs w:val="24"/>
        </w:rPr>
        <w:t>Regulations for the Training, Certification, Continuous Education Program</w:t>
      </w:r>
      <w:r w:rsidR="00537224">
        <w:rPr>
          <w:rFonts w:ascii="Times New Roman" w:eastAsia="標楷體" w:hAnsi="Times New Roman" w:cs="Times New Roman"/>
          <w:iCs/>
          <w:szCs w:val="24"/>
        </w:rPr>
        <w:t>,</w:t>
      </w:r>
      <w:r w:rsidRPr="002153DE">
        <w:rPr>
          <w:rFonts w:ascii="Times New Roman" w:eastAsia="標楷體" w:hAnsi="Times New Roman" w:cs="Times New Roman"/>
          <w:iCs/>
          <w:szCs w:val="24"/>
        </w:rPr>
        <w:t xml:space="preserve"> and Registration Conditions for Long-term Care Personnel</w:t>
      </w:r>
      <w:r w:rsidRPr="00885A57">
        <w:rPr>
          <w:rFonts w:ascii="Times New Roman" w:eastAsia="標楷體" w:hAnsi="Times New Roman" w:cs="Times New Roman"/>
          <w:szCs w:val="24"/>
        </w:rPr>
        <w:t xml:space="preserve"> stipulate that Level I general courses on long-term care shall comprise courses on gender and cultural perspectives in long-term care to enhance professionals’ awareness of gender equality. The guidelines focus on gender violence </w:t>
      </w:r>
      <w:r w:rsidR="00537224">
        <w:rPr>
          <w:rFonts w:ascii="Times New Roman" w:eastAsia="標楷體" w:hAnsi="Times New Roman" w:cs="Times New Roman"/>
          <w:szCs w:val="24"/>
        </w:rPr>
        <w:t>prevention</w:t>
      </w:r>
      <w:r w:rsidR="00537224"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and increasing gender care sensitivity and the competencies of relevant professionals. In 2018 and 2019, 22,656 and 20,869 individuals attended Level I courses, respectively.</w:t>
      </w:r>
    </w:p>
    <w:p w14:paraId="06974064" w14:textId="511BD7FE" w:rsidR="0060557B" w:rsidRPr="00885A57" w:rsidRDefault="00537224" w:rsidP="001A2139">
      <w:pPr>
        <w:pStyle w:val="a7"/>
        <w:numPr>
          <w:ilvl w:val="0"/>
          <w:numId w:val="13"/>
        </w:numPr>
        <w:spacing w:after="120" w:line="360" w:lineRule="auto"/>
        <w:ind w:leftChars="0"/>
        <w:jc w:val="both"/>
        <w:rPr>
          <w:rFonts w:ascii="Times New Roman" w:eastAsia="標楷體" w:hAnsi="Times New Roman" w:cs="Times New Roman"/>
          <w:szCs w:val="24"/>
        </w:rPr>
      </w:pPr>
      <w:r>
        <w:rPr>
          <w:rFonts w:ascii="Times New Roman" w:eastAsia="標楷體" w:hAnsi="Times New Roman" w:cs="Times New Roman"/>
          <w:szCs w:val="24"/>
        </w:rPr>
        <w:lastRenderedPageBreak/>
        <w:t>V</w:t>
      </w:r>
      <w:r w:rsidR="0060557B" w:rsidRPr="00885A57">
        <w:rPr>
          <w:rFonts w:ascii="Times New Roman" w:eastAsia="標楷體" w:hAnsi="Times New Roman" w:cs="Times New Roman"/>
          <w:szCs w:val="24"/>
        </w:rPr>
        <w:t>arious medical personnel regulations</w:t>
      </w:r>
      <w:r>
        <w:rPr>
          <w:rFonts w:ascii="Times New Roman" w:eastAsia="標楷體" w:hAnsi="Times New Roman" w:cs="Times New Roman"/>
          <w:szCs w:val="24"/>
        </w:rPr>
        <w:t xml:space="preserve"> require that</w:t>
      </w:r>
      <w:r w:rsidRPr="00885A57">
        <w:rPr>
          <w:rFonts w:ascii="Times New Roman" w:eastAsia="標楷體" w:hAnsi="Times New Roman" w:cs="Times New Roman"/>
          <w:szCs w:val="24"/>
        </w:rPr>
        <w:t xml:space="preserve"> </w:t>
      </w:r>
      <w:r w:rsidR="0060557B" w:rsidRPr="00885A57">
        <w:rPr>
          <w:rFonts w:ascii="Times New Roman" w:eastAsia="標楷體" w:hAnsi="Times New Roman" w:cs="Times New Roman"/>
          <w:szCs w:val="24"/>
        </w:rPr>
        <w:t>medical personnel attend continuing education for a certain number of hours every six</w:t>
      </w:r>
      <w:r w:rsidR="001E749F">
        <w:rPr>
          <w:rFonts w:ascii="Times New Roman" w:eastAsia="標楷體" w:hAnsi="Times New Roman" w:cs="Times New Roman"/>
          <w:szCs w:val="24"/>
        </w:rPr>
        <w:t xml:space="preserve"> </w:t>
      </w:r>
      <w:r w:rsidR="0060557B" w:rsidRPr="00885A57">
        <w:rPr>
          <w:rFonts w:ascii="Times New Roman" w:eastAsia="標楷體" w:hAnsi="Times New Roman" w:cs="Times New Roman"/>
          <w:szCs w:val="24"/>
        </w:rPr>
        <w:t>year</w:t>
      </w:r>
      <w:r w:rsidR="001E749F">
        <w:rPr>
          <w:rFonts w:ascii="Times New Roman" w:eastAsia="標楷體" w:hAnsi="Times New Roman" w:cs="Times New Roman"/>
          <w:szCs w:val="24"/>
        </w:rPr>
        <w:t>s</w:t>
      </w:r>
      <w:r w:rsidR="0060557B" w:rsidRPr="00885A57">
        <w:rPr>
          <w:rFonts w:ascii="Times New Roman" w:eastAsia="標楷體" w:hAnsi="Times New Roman" w:cs="Times New Roman"/>
          <w:szCs w:val="24"/>
        </w:rPr>
        <w:t xml:space="preserve"> to renew their license. </w:t>
      </w:r>
      <w:r w:rsidR="00F66FF6">
        <w:rPr>
          <w:rFonts w:ascii="Times New Roman" w:eastAsia="標楷體" w:hAnsi="Times New Roman" w:cs="Times New Roman"/>
          <w:szCs w:val="24"/>
        </w:rPr>
        <w:t xml:space="preserve">For </w:t>
      </w:r>
      <w:r w:rsidR="0060557B" w:rsidRPr="00885A57">
        <w:rPr>
          <w:rFonts w:ascii="Times New Roman" w:eastAsia="標楷體" w:hAnsi="Times New Roman" w:cs="Times New Roman"/>
          <w:szCs w:val="24"/>
        </w:rPr>
        <w:t>the continuing education program, gender issue</w:t>
      </w:r>
      <w:r w:rsidR="00F66FF6">
        <w:rPr>
          <w:rFonts w:ascii="Times New Roman" w:eastAsia="標楷體" w:hAnsi="Times New Roman" w:cs="Times New Roman"/>
          <w:szCs w:val="24"/>
        </w:rPr>
        <w:t>s</w:t>
      </w:r>
      <w:r w:rsidR="0060557B" w:rsidRPr="00885A57">
        <w:rPr>
          <w:rFonts w:ascii="Times New Roman" w:eastAsia="標楷體" w:hAnsi="Times New Roman" w:cs="Times New Roman"/>
          <w:szCs w:val="24"/>
        </w:rPr>
        <w:t xml:space="preserve"> is a mandatory course; therefore, medical personnel must complete a gender issues course. As of December 2019, the number of practicing nurses was 175,195; a total of 1,380 courses related to gender equality were offered from 2016 to 2019, with 204,861 attendees. There were 1,934 courses related to exploitation avoidance, violence reporting, and abuse during this period, attracting 140,080 attendees in total (Table 16.3). To reinforce </w:t>
      </w:r>
      <w:r>
        <w:rPr>
          <w:rFonts w:ascii="Times New Roman" w:eastAsia="標楷體" w:hAnsi="Times New Roman" w:cs="Times New Roman"/>
          <w:szCs w:val="24"/>
        </w:rPr>
        <w:t xml:space="preserve">nurses’ understanding of </w:t>
      </w:r>
      <w:r w:rsidR="0060557B" w:rsidRPr="00885A57">
        <w:rPr>
          <w:rFonts w:ascii="Times New Roman" w:eastAsia="標楷體" w:hAnsi="Times New Roman" w:cs="Times New Roman"/>
          <w:szCs w:val="24"/>
        </w:rPr>
        <w:t xml:space="preserve">exploitation, abuse, case reporting of </w:t>
      </w:r>
      <w:r w:rsidR="00124461" w:rsidRPr="00885A57">
        <w:rPr>
          <w:rFonts w:ascii="Times New Roman" w:eastAsia="標楷體" w:hAnsi="Times New Roman" w:cs="Times New Roman"/>
          <w:szCs w:val="24"/>
        </w:rPr>
        <w:t>disabilities,</w:t>
      </w:r>
      <w:r w:rsidR="0060557B" w:rsidRPr="00885A57">
        <w:rPr>
          <w:rFonts w:ascii="Times New Roman" w:eastAsia="標楷體" w:hAnsi="Times New Roman" w:cs="Times New Roman"/>
          <w:szCs w:val="24"/>
        </w:rPr>
        <w:t xml:space="preserve"> and gender equality of people with disabilities, the MOHW requested local governments and nursing associations offering courses to incorporate the topics mentioned above into continuing education curricula for licensed nursing personnel in 2018 and 2019.</w:t>
      </w:r>
    </w:p>
    <w:p w14:paraId="10606A11" w14:textId="58CDA512" w:rsidR="00CB779D" w:rsidRPr="00885A57" w:rsidRDefault="0060557B" w:rsidP="00177293">
      <w:pPr>
        <w:pStyle w:val="a7"/>
        <w:numPr>
          <w:ilvl w:val="0"/>
          <w:numId w:val="13"/>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Gender equality training programs for education professionals include </w:t>
      </w:r>
      <w:r w:rsidR="00537224">
        <w:rPr>
          <w:rFonts w:ascii="Times New Roman" w:eastAsia="標楷體" w:hAnsi="Times New Roman" w:cs="Times New Roman"/>
          <w:szCs w:val="24"/>
        </w:rPr>
        <w:t xml:space="preserve">parent-teacher </w:t>
      </w:r>
      <w:r w:rsidRPr="00885A57">
        <w:rPr>
          <w:rFonts w:ascii="Times New Roman" w:eastAsia="標楷體" w:hAnsi="Times New Roman" w:cs="Times New Roman"/>
          <w:szCs w:val="24"/>
        </w:rPr>
        <w:t>gender equality workshops, experience</w:t>
      </w:r>
      <w:r w:rsidR="003F6195">
        <w:rPr>
          <w:rFonts w:ascii="Times New Roman" w:eastAsia="標楷體" w:hAnsi="Times New Roman" w:cs="Times New Roman" w:hint="eastAsia"/>
          <w:szCs w:val="24"/>
        </w:rPr>
        <w:t xml:space="preserve"> </w:t>
      </w:r>
      <w:r w:rsidRPr="00885A57">
        <w:rPr>
          <w:rFonts w:ascii="Times New Roman" w:eastAsia="標楷體" w:hAnsi="Times New Roman" w:cs="Times New Roman"/>
          <w:szCs w:val="24"/>
        </w:rPr>
        <w:t xml:space="preserve">exchange seminars concerning the operations of gender equality education committees </w:t>
      </w:r>
      <w:r w:rsidR="00F66FF6">
        <w:rPr>
          <w:rFonts w:ascii="Times New Roman" w:eastAsia="標楷體" w:hAnsi="Times New Roman" w:cs="Times New Roman"/>
          <w:szCs w:val="24"/>
        </w:rPr>
        <w:t xml:space="preserve">at </w:t>
      </w:r>
      <w:r w:rsidRPr="00885A57">
        <w:rPr>
          <w:rFonts w:ascii="Times New Roman" w:eastAsia="標楷體" w:hAnsi="Times New Roman" w:cs="Times New Roman"/>
          <w:szCs w:val="24"/>
        </w:rPr>
        <w:t>higher education institutions, workshops on understanding and handling campus intimate partner violence, and training of professional investigators of gender</w:t>
      </w:r>
      <w:r w:rsidR="003F6195">
        <w:rPr>
          <w:rFonts w:ascii="Times New Roman" w:eastAsia="標楷體" w:hAnsi="Times New Roman" w:cs="Times New Roman" w:hint="eastAsia"/>
          <w:szCs w:val="24"/>
        </w:rPr>
        <w:t xml:space="preserve"> </w:t>
      </w:r>
      <w:r w:rsidRPr="00885A57">
        <w:rPr>
          <w:rFonts w:ascii="Times New Roman" w:eastAsia="標楷體" w:hAnsi="Times New Roman" w:cs="Times New Roman"/>
          <w:szCs w:val="24"/>
        </w:rPr>
        <w:t xml:space="preserve">equality incidents. In 2019, the aforementioned </w:t>
      </w:r>
      <w:r w:rsidR="00537224">
        <w:rPr>
          <w:rFonts w:ascii="Times New Roman" w:eastAsia="標楷體" w:hAnsi="Times New Roman" w:cs="Times New Roman"/>
          <w:szCs w:val="24"/>
        </w:rPr>
        <w:t>courses</w:t>
      </w:r>
      <w:r w:rsidR="00537224"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attracted 1,277 attendees. Teaching materials such as teaching materials on gender equality education for students with disabilities and the reference manual on gender equality education for counselors in resource rooms of higher education institutions were devised for organizers offering online courses or workshops; the materials are evaluated and </w:t>
      </w:r>
      <w:r w:rsidRPr="00885A57">
        <w:rPr>
          <w:rFonts w:ascii="Times New Roman" w:eastAsia="標楷體" w:hAnsi="Times New Roman" w:cs="Times New Roman"/>
          <w:szCs w:val="24"/>
        </w:rPr>
        <w:lastRenderedPageBreak/>
        <w:t>revised after onsite teaching trials.</w:t>
      </w:r>
    </w:p>
    <w:p w14:paraId="00454935" w14:textId="428937E7" w:rsidR="0018579B" w:rsidRPr="00885A57" w:rsidRDefault="00563F88" w:rsidP="00177293">
      <w:pPr>
        <w:pStyle w:val="10"/>
        <w:spacing w:after="120" w:line="360" w:lineRule="auto"/>
        <w:rPr>
          <w:rFonts w:ascii="Times New Roman" w:hAnsi="Times New Roman"/>
        </w:rPr>
      </w:pPr>
      <w:bookmarkStart w:id="109" w:name="_Toc73108686"/>
      <w:r w:rsidRPr="00885A57">
        <w:rPr>
          <w:rFonts w:ascii="Times New Roman" w:hAnsi="Times New Roman"/>
        </w:rPr>
        <w:t>Article 1</w:t>
      </w:r>
      <w:bookmarkStart w:id="110" w:name="_Toc55900590"/>
      <w:r w:rsidR="00B645D5" w:rsidRPr="00885A57">
        <w:rPr>
          <w:rFonts w:ascii="Times New Roman" w:hAnsi="Times New Roman"/>
        </w:rPr>
        <w:t xml:space="preserve">7: </w:t>
      </w:r>
      <w:r w:rsidRPr="00885A57">
        <w:rPr>
          <w:rFonts w:ascii="Times New Roman" w:hAnsi="Times New Roman"/>
        </w:rPr>
        <w:t>Protecting the integrity of the person</w:t>
      </w:r>
      <w:bookmarkEnd w:id="109"/>
      <w:bookmarkEnd w:id="110"/>
    </w:p>
    <w:p w14:paraId="55600736" w14:textId="70D3A418" w:rsidR="00232B34" w:rsidRPr="00F370E0" w:rsidRDefault="00532C5C">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11" w:name="_Ref55910520"/>
      <w:r w:rsidRPr="00885A57">
        <w:rPr>
          <w:rFonts w:ascii="Times New Roman" w:eastAsia="微軟正黑體" w:hAnsi="Times New Roman" w:cs="Times New Roman"/>
          <w:szCs w:val="24"/>
        </w:rPr>
        <w:t xml:space="preserve">The </w:t>
      </w:r>
      <w:r w:rsidRPr="002153DE">
        <w:rPr>
          <w:rFonts w:ascii="Times New Roman" w:eastAsia="微軟正黑體" w:hAnsi="Times New Roman" w:cs="Times New Roman"/>
          <w:iCs/>
          <w:szCs w:val="24"/>
        </w:rPr>
        <w:t>Genetic Health Act</w:t>
      </w:r>
      <w:r w:rsidRPr="00885A57">
        <w:rPr>
          <w:rFonts w:ascii="Times New Roman" w:eastAsia="微軟正黑體" w:hAnsi="Times New Roman" w:cs="Times New Roman"/>
          <w:szCs w:val="24"/>
        </w:rPr>
        <w:t xml:space="preserve"> stipulates that induced abortion or tubal ligation </w:t>
      </w:r>
      <w:r w:rsidR="0054751A" w:rsidRPr="00885A57">
        <w:rPr>
          <w:rFonts w:ascii="Times New Roman" w:eastAsia="微軟正黑體" w:hAnsi="Times New Roman" w:cs="Times New Roman"/>
          <w:szCs w:val="24"/>
        </w:rPr>
        <w:t>cannot</w:t>
      </w:r>
      <w:r w:rsidRPr="00885A57">
        <w:rPr>
          <w:rFonts w:ascii="Times New Roman" w:eastAsia="微軟正黑體" w:hAnsi="Times New Roman" w:cs="Times New Roman"/>
          <w:szCs w:val="24"/>
        </w:rPr>
        <w:t xml:space="preserve"> be performed without a woman’s consent. If the woman is </w:t>
      </w:r>
      <w:r w:rsidRPr="00885A57">
        <w:rPr>
          <w:rFonts w:ascii="Times New Roman" w:hAnsi="Times New Roman" w:cs="Times New Roman"/>
          <w:szCs w:val="24"/>
        </w:rPr>
        <w:t>u</w:t>
      </w:r>
      <w:r w:rsidRPr="00885A57">
        <w:rPr>
          <w:rFonts w:ascii="Times New Roman" w:eastAsia="微軟正黑體" w:hAnsi="Times New Roman" w:cs="Times New Roman"/>
          <w:szCs w:val="24"/>
        </w:rPr>
        <w:t xml:space="preserve">nder guardianship or assistance, the consent of her statutory agent or assistant must also be obtained. In addition, the doctor performing the induced abortion or tubal ligation shall offer appropriate pre- and post-operative consultation services to ensure the </w:t>
      </w:r>
      <w:r w:rsidR="00537224" w:rsidRPr="00885A57">
        <w:rPr>
          <w:rFonts w:ascii="Times New Roman" w:eastAsia="微軟正黑體" w:hAnsi="Times New Roman" w:cs="Times New Roman"/>
          <w:szCs w:val="24"/>
        </w:rPr>
        <w:t>recipient</w:t>
      </w:r>
      <w:r w:rsidR="00537224">
        <w:rPr>
          <w:rFonts w:ascii="Times New Roman" w:eastAsia="微軟正黑體" w:hAnsi="Times New Roman" w:cs="Times New Roman"/>
          <w:szCs w:val="24"/>
        </w:rPr>
        <w:t>’s</w:t>
      </w:r>
      <w:r w:rsidR="00537224" w:rsidRPr="00F370E0">
        <w:rPr>
          <w:rFonts w:ascii="Times New Roman" w:eastAsia="微軟正黑體" w:hAnsi="Times New Roman" w:cs="Times New Roman"/>
          <w:szCs w:val="24"/>
        </w:rPr>
        <w:t xml:space="preserve"> </w:t>
      </w:r>
      <w:r w:rsidRPr="00F370E0">
        <w:rPr>
          <w:rFonts w:ascii="Times New Roman" w:eastAsia="微軟正黑體" w:hAnsi="Times New Roman" w:cs="Times New Roman"/>
          <w:szCs w:val="24"/>
        </w:rPr>
        <w:t xml:space="preserve">right to informed consent. Under the act, forced abortion and tubal ligation </w:t>
      </w:r>
      <w:r w:rsidR="00F66FF6" w:rsidRPr="00F370E0">
        <w:rPr>
          <w:rFonts w:ascii="Times New Roman" w:eastAsia="微軟正黑體" w:hAnsi="Times New Roman" w:cs="Times New Roman"/>
          <w:szCs w:val="24"/>
        </w:rPr>
        <w:t xml:space="preserve">are </w:t>
      </w:r>
      <w:r w:rsidRPr="00F370E0">
        <w:rPr>
          <w:rFonts w:ascii="Times New Roman" w:eastAsia="微軟正黑體" w:hAnsi="Times New Roman" w:cs="Times New Roman"/>
          <w:szCs w:val="24"/>
        </w:rPr>
        <w:t xml:space="preserve">not permitted. The MOHW has deliberated the revision and amendment of the </w:t>
      </w:r>
      <w:r w:rsidRPr="00F370E0">
        <w:rPr>
          <w:rFonts w:ascii="Times New Roman" w:eastAsia="微軟正黑體" w:hAnsi="Times New Roman" w:cs="Times New Roman"/>
          <w:iCs/>
          <w:szCs w:val="24"/>
        </w:rPr>
        <w:t>Genetic Health Act</w:t>
      </w:r>
      <w:r w:rsidRPr="00F370E0">
        <w:rPr>
          <w:rFonts w:ascii="Times New Roman" w:eastAsia="微軟正黑體" w:hAnsi="Times New Roman" w:cs="Times New Roman"/>
          <w:szCs w:val="24"/>
        </w:rPr>
        <w:t xml:space="preserve"> and its renaming to the </w:t>
      </w:r>
      <w:r w:rsidRPr="00F370E0">
        <w:rPr>
          <w:rFonts w:ascii="Times New Roman" w:eastAsia="微軟正黑體" w:hAnsi="Times New Roman" w:cs="Times New Roman"/>
          <w:iCs/>
          <w:szCs w:val="24"/>
        </w:rPr>
        <w:t>Reproductive Health Act</w:t>
      </w:r>
      <w:r w:rsidRPr="00F370E0">
        <w:rPr>
          <w:rFonts w:ascii="Times New Roman" w:eastAsia="微軟正黑體" w:hAnsi="Times New Roman" w:cs="Times New Roman"/>
          <w:szCs w:val="24"/>
        </w:rPr>
        <w:t xml:space="preserve"> with the removal of the article </w:t>
      </w:r>
      <w:r w:rsidR="00537224">
        <w:rPr>
          <w:rFonts w:ascii="Times New Roman" w:eastAsia="微軟正黑體" w:hAnsi="Times New Roman" w:cs="Times New Roman"/>
          <w:szCs w:val="24"/>
        </w:rPr>
        <w:t>requiring</w:t>
      </w:r>
      <w:r w:rsidR="00537224" w:rsidRPr="00F370E0">
        <w:rPr>
          <w:rFonts w:ascii="Times New Roman" w:eastAsia="微軟正黑體" w:hAnsi="Times New Roman" w:cs="Times New Roman"/>
          <w:szCs w:val="24"/>
        </w:rPr>
        <w:t xml:space="preserve"> </w:t>
      </w:r>
      <w:r w:rsidR="00F66FF6" w:rsidRPr="00F370E0">
        <w:rPr>
          <w:rFonts w:ascii="Times New Roman" w:eastAsia="微軟正黑體" w:hAnsi="Times New Roman" w:cs="Times New Roman"/>
          <w:szCs w:val="24"/>
        </w:rPr>
        <w:t xml:space="preserve">that </w:t>
      </w:r>
      <w:r w:rsidRPr="00F370E0">
        <w:rPr>
          <w:rFonts w:ascii="Times New Roman" w:eastAsia="微軟正黑體" w:hAnsi="Times New Roman" w:cs="Times New Roman"/>
          <w:szCs w:val="24"/>
        </w:rPr>
        <w:t>physicians advise their patient to receive sterilization or induced abortion.</w:t>
      </w:r>
      <w:r w:rsidRPr="00F370E0">
        <w:rPr>
          <w:rFonts w:ascii="Times New Roman" w:hAnsi="Times New Roman" w:cs="Times New Roman"/>
          <w:szCs w:val="24"/>
        </w:rPr>
        <w:t xml:space="preserve"> </w:t>
      </w:r>
      <w:r w:rsidRPr="00F370E0">
        <w:rPr>
          <w:rFonts w:ascii="Times New Roman" w:eastAsia="微軟正黑體" w:hAnsi="Times New Roman" w:cs="Times New Roman"/>
          <w:szCs w:val="24"/>
        </w:rPr>
        <w:t>In addition,</w:t>
      </w:r>
      <w:r w:rsidRPr="00F370E0">
        <w:rPr>
          <w:rFonts w:ascii="Times New Roman" w:hAnsi="Times New Roman" w:cs="Times New Roman"/>
          <w:szCs w:val="24"/>
        </w:rPr>
        <w:t xml:space="preserve"> </w:t>
      </w:r>
      <w:r w:rsidRPr="00F370E0">
        <w:rPr>
          <w:rFonts w:ascii="Times New Roman" w:eastAsia="微軟正黑體" w:hAnsi="Times New Roman" w:cs="Times New Roman"/>
          <w:szCs w:val="24"/>
        </w:rPr>
        <w:t xml:space="preserve">the MOHW adopted a resolution </w:t>
      </w:r>
      <w:r w:rsidR="00537224">
        <w:rPr>
          <w:rFonts w:ascii="Times New Roman" w:eastAsia="微軟正黑體" w:hAnsi="Times New Roman" w:cs="Times New Roman"/>
          <w:szCs w:val="24"/>
        </w:rPr>
        <w:t xml:space="preserve">of </w:t>
      </w:r>
      <w:r w:rsidRPr="00F370E0">
        <w:rPr>
          <w:rFonts w:ascii="Times New Roman" w:eastAsia="微軟正黑體" w:hAnsi="Times New Roman" w:cs="Times New Roman"/>
          <w:szCs w:val="24"/>
        </w:rPr>
        <w:t>the National Conference on Judicial Reform in 2017 regarding the implementation of an adequate judicial or administrative dispute resolution mechanism to safeguard the right of minors and married women to choose abortion.</w:t>
      </w:r>
      <w:bookmarkEnd w:id="111"/>
      <w:r w:rsidRPr="00885A57">
        <w:rPr>
          <w:rStyle w:val="ab"/>
          <w:rFonts w:ascii="Times New Roman" w:eastAsia="標楷體" w:hAnsi="Times New Roman" w:cs="Times New Roman"/>
        </w:rPr>
        <w:footnoteReference w:id="67"/>
      </w:r>
    </w:p>
    <w:p w14:paraId="3F04CBFC" w14:textId="17F337E6" w:rsidR="0046088A" w:rsidRPr="00885A57" w:rsidRDefault="00532C5C"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12" w:name="_Ref55910525"/>
      <w:r w:rsidRPr="00885A57">
        <w:rPr>
          <w:rFonts w:ascii="Times New Roman" w:eastAsia="標楷體" w:hAnsi="Times New Roman" w:cs="Times New Roman"/>
          <w:szCs w:val="24"/>
        </w:rPr>
        <w:t xml:space="preserve">The </w:t>
      </w:r>
      <w:r w:rsidRPr="002153DE">
        <w:rPr>
          <w:rFonts w:ascii="Times New Roman" w:eastAsia="標楷體" w:hAnsi="Times New Roman" w:cs="Times New Roman"/>
          <w:iCs/>
          <w:szCs w:val="24"/>
        </w:rPr>
        <w:t>Mental Health Act</w:t>
      </w:r>
      <w:r w:rsidRPr="00885A57">
        <w:rPr>
          <w:rFonts w:ascii="Times New Roman" w:eastAsia="標楷體" w:hAnsi="Times New Roman" w:cs="Times New Roman"/>
          <w:szCs w:val="24"/>
        </w:rPr>
        <w:t xml:space="preserve"> aims to protect the right of patients with psychiatric disorders to health and safety; no special treatment for pregnant women with psychiatric disorders is </w:t>
      </w:r>
      <w:r w:rsidR="00537224">
        <w:rPr>
          <w:rFonts w:ascii="Times New Roman" w:eastAsia="標楷體" w:hAnsi="Times New Roman" w:cs="Times New Roman"/>
          <w:szCs w:val="24"/>
        </w:rPr>
        <w:t>addressed</w:t>
      </w:r>
      <w:r w:rsidR="00537224"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in the act. The MOHW, following investigations </w:t>
      </w:r>
      <w:r w:rsidR="00C47DFA">
        <w:rPr>
          <w:rFonts w:ascii="Times New Roman" w:eastAsia="標楷體" w:hAnsi="Times New Roman" w:cs="Times New Roman"/>
          <w:szCs w:val="24"/>
        </w:rPr>
        <w:t>by</w:t>
      </w:r>
      <w:r w:rsidR="00C47DFA"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each local government, has confirmed that psychiatric care institutions, with the patient’s willingness and in accordance with relevant </w:t>
      </w:r>
      <w:r w:rsidRPr="00885A57">
        <w:rPr>
          <w:rFonts w:ascii="Times New Roman" w:eastAsia="標楷體" w:hAnsi="Times New Roman" w:cs="Times New Roman"/>
          <w:szCs w:val="24"/>
        </w:rPr>
        <w:lastRenderedPageBreak/>
        <w:t>provisions, have administered reasonable medical treatment to pregnant women with psychiatric disorders; the ministry has not received any petitions challenging coerced abortions by patients or their families.</w:t>
      </w:r>
      <w:bookmarkEnd w:id="112"/>
      <w:r w:rsidRPr="00885A57">
        <w:rPr>
          <w:rStyle w:val="ab"/>
          <w:rFonts w:ascii="Times New Roman" w:eastAsia="標楷體" w:hAnsi="Times New Roman" w:cs="Times New Roman"/>
        </w:rPr>
        <w:footnoteReference w:id="68"/>
      </w:r>
    </w:p>
    <w:p w14:paraId="230805B1" w14:textId="0673E2DD" w:rsidR="0018579B" w:rsidRPr="00885A57" w:rsidRDefault="00563F88" w:rsidP="00177293">
      <w:pPr>
        <w:pStyle w:val="10"/>
        <w:spacing w:after="120" w:line="360" w:lineRule="auto"/>
        <w:rPr>
          <w:rFonts w:ascii="Times New Roman" w:hAnsi="Times New Roman"/>
        </w:rPr>
      </w:pPr>
      <w:bookmarkStart w:id="113" w:name="_Toc73108687"/>
      <w:r w:rsidRPr="00885A57">
        <w:rPr>
          <w:rFonts w:ascii="Times New Roman" w:hAnsi="Times New Roman"/>
        </w:rPr>
        <w:t>Article 18</w:t>
      </w:r>
      <w:bookmarkStart w:id="114" w:name="_Toc55900592"/>
      <w:r w:rsidR="00B645D5" w:rsidRPr="00885A57">
        <w:rPr>
          <w:rFonts w:ascii="Times New Roman" w:hAnsi="Times New Roman"/>
        </w:rPr>
        <w:t xml:space="preserve">: </w:t>
      </w:r>
      <w:r w:rsidRPr="00885A57">
        <w:rPr>
          <w:rFonts w:ascii="Times New Roman" w:hAnsi="Times New Roman"/>
        </w:rPr>
        <w:t>Liberty of movement and nationality</w:t>
      </w:r>
      <w:bookmarkEnd w:id="113"/>
      <w:r w:rsidR="000E451C" w:rsidRPr="00885A57">
        <w:rPr>
          <w:rFonts w:ascii="Times New Roman" w:hAnsi="Times New Roman"/>
        </w:rPr>
        <w:tab/>
      </w:r>
      <w:r w:rsidR="000E451C" w:rsidRPr="00885A57">
        <w:rPr>
          <w:rFonts w:ascii="Times New Roman" w:hAnsi="Times New Roman"/>
        </w:rPr>
        <w:tab/>
      </w:r>
      <w:r w:rsidR="000E451C" w:rsidRPr="00885A57">
        <w:rPr>
          <w:rFonts w:ascii="Times New Roman" w:hAnsi="Times New Roman"/>
        </w:rPr>
        <w:tab/>
      </w:r>
      <w:r w:rsidR="000E451C" w:rsidRPr="00885A57">
        <w:rPr>
          <w:rFonts w:ascii="Times New Roman" w:hAnsi="Times New Roman"/>
        </w:rPr>
        <w:tab/>
      </w:r>
      <w:r w:rsidR="000E451C" w:rsidRPr="00885A57">
        <w:rPr>
          <w:rFonts w:ascii="Times New Roman" w:hAnsi="Times New Roman"/>
        </w:rPr>
        <w:tab/>
      </w:r>
      <w:r w:rsidR="000E451C" w:rsidRPr="00885A57">
        <w:rPr>
          <w:rFonts w:ascii="Times New Roman" w:hAnsi="Times New Roman"/>
        </w:rPr>
        <w:tab/>
      </w:r>
      <w:r w:rsidR="000E451C" w:rsidRPr="00885A57">
        <w:rPr>
          <w:rFonts w:ascii="Times New Roman" w:hAnsi="Times New Roman"/>
        </w:rPr>
        <w:tab/>
        <w:t xml:space="preserve">     </w:t>
      </w:r>
      <w:bookmarkEnd w:id="114"/>
    </w:p>
    <w:p w14:paraId="75024D43" w14:textId="64E9E9A3" w:rsidR="005D537C" w:rsidRPr="00885A57" w:rsidRDefault="00532C5C"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bCs/>
          <w:kern w:val="0"/>
          <w:szCs w:val="24"/>
        </w:rPr>
        <w:t xml:space="preserve">Pursuant to the </w:t>
      </w:r>
      <w:r w:rsidRPr="002153DE">
        <w:rPr>
          <w:rFonts w:ascii="Times New Roman" w:eastAsia="標楷體" w:hAnsi="Times New Roman" w:cs="Times New Roman"/>
          <w:bCs/>
          <w:iCs/>
          <w:kern w:val="0"/>
          <w:szCs w:val="24"/>
        </w:rPr>
        <w:t>Nationality Act</w:t>
      </w:r>
      <w:r w:rsidRPr="00885A57">
        <w:rPr>
          <w:rFonts w:ascii="Times New Roman" w:eastAsia="標楷體" w:hAnsi="Times New Roman" w:cs="Times New Roman"/>
          <w:bCs/>
          <w:kern w:val="0"/>
          <w:szCs w:val="24"/>
        </w:rPr>
        <w:t xml:space="preserve">, acquisition of citizenship shall primarily be determined according to </w:t>
      </w:r>
      <w:r w:rsidRPr="002153DE">
        <w:rPr>
          <w:rFonts w:ascii="Times New Roman" w:eastAsia="標楷體" w:hAnsi="Times New Roman" w:cs="Times New Roman"/>
          <w:bCs/>
          <w:kern w:val="0"/>
          <w:szCs w:val="24"/>
        </w:rPr>
        <w:t>jus sanguinis</w:t>
      </w:r>
      <w:r w:rsidRPr="00885A57">
        <w:rPr>
          <w:rFonts w:ascii="Times New Roman" w:eastAsia="標楷體" w:hAnsi="Times New Roman" w:cs="Times New Roman"/>
          <w:bCs/>
          <w:kern w:val="0"/>
          <w:szCs w:val="24"/>
        </w:rPr>
        <w:t xml:space="preserve"> and secondarily determined according to </w:t>
      </w:r>
      <w:r w:rsidRPr="002153DE">
        <w:rPr>
          <w:rFonts w:ascii="Times New Roman" w:eastAsia="標楷體" w:hAnsi="Times New Roman" w:cs="Times New Roman"/>
          <w:bCs/>
          <w:kern w:val="0"/>
          <w:szCs w:val="24"/>
        </w:rPr>
        <w:t>jus soli</w:t>
      </w:r>
      <w:r w:rsidR="00D608C1">
        <w:rPr>
          <w:rFonts w:ascii="Times New Roman" w:eastAsia="標楷體" w:hAnsi="Times New Roman" w:cs="Times New Roman"/>
          <w:bCs/>
          <w:kern w:val="0"/>
          <w:szCs w:val="24"/>
        </w:rPr>
        <w:t>s</w:t>
      </w:r>
      <w:r w:rsidRPr="00885A57">
        <w:rPr>
          <w:rFonts w:ascii="Times New Roman" w:eastAsia="標楷體" w:hAnsi="Times New Roman" w:cs="Times New Roman"/>
          <w:bCs/>
          <w:kern w:val="0"/>
          <w:szCs w:val="24"/>
        </w:rPr>
        <w:t xml:space="preserve">. Any individual can acquire nationality regardless of sex, religion, race, status, political opinion, place of birth, or disability. Except for nationality revocation as an administrative </w:t>
      </w:r>
      <w:r w:rsidRPr="00885A57">
        <w:rPr>
          <w:rFonts w:ascii="Times New Roman" w:eastAsia="標楷體" w:hAnsi="Times New Roman" w:cs="Times New Roman"/>
          <w:kern w:val="0"/>
          <w:szCs w:val="24"/>
        </w:rPr>
        <w:t>disposition</w:t>
      </w:r>
      <w:r w:rsidRPr="00885A57">
        <w:rPr>
          <w:rFonts w:ascii="Times New Roman" w:eastAsia="標楷體" w:hAnsi="Times New Roman" w:cs="Times New Roman"/>
          <w:bCs/>
          <w:kern w:val="0"/>
          <w:szCs w:val="24"/>
        </w:rPr>
        <w:t xml:space="preserve"> or because of a violation of law, the </w:t>
      </w:r>
      <w:r w:rsidRPr="002153DE">
        <w:rPr>
          <w:rFonts w:ascii="Times New Roman" w:eastAsia="標楷體" w:hAnsi="Times New Roman" w:cs="Times New Roman"/>
          <w:bCs/>
          <w:iCs/>
          <w:kern w:val="0"/>
          <w:szCs w:val="24"/>
        </w:rPr>
        <w:t>Nationality Act</w:t>
      </w:r>
      <w:r w:rsidRPr="00885A57">
        <w:rPr>
          <w:rFonts w:ascii="Times New Roman" w:eastAsia="標楷體" w:hAnsi="Times New Roman" w:cs="Times New Roman"/>
          <w:bCs/>
          <w:kern w:val="0"/>
          <w:szCs w:val="24"/>
        </w:rPr>
        <w:t xml:space="preserve"> is equivalently applicable to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bCs/>
          <w:kern w:val="0"/>
          <w:szCs w:val="24"/>
        </w:rPr>
        <w:t xml:space="preserve"> with disabilities with respect to the acquisition, loss, restoration, and revocation of nationality.</w:t>
      </w:r>
    </w:p>
    <w:p w14:paraId="5F98C037" w14:textId="61146BA2" w:rsidR="000F0461" w:rsidRPr="00885A57" w:rsidRDefault="00532C5C" w:rsidP="00177293">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w:t>
      </w:r>
      <w:r w:rsidRPr="002153DE">
        <w:rPr>
          <w:rFonts w:ascii="Times New Roman" w:eastAsia="標楷體" w:hAnsi="Times New Roman" w:cs="Times New Roman"/>
          <w:iCs/>
          <w:szCs w:val="24"/>
        </w:rPr>
        <w:t>Household Registration Act</w:t>
      </w:r>
      <w:r w:rsidRPr="00885A57">
        <w:rPr>
          <w:rFonts w:ascii="Times New Roman" w:eastAsia="標楷體" w:hAnsi="Times New Roman" w:cs="Times New Roman"/>
          <w:szCs w:val="24"/>
        </w:rPr>
        <w:t xml:space="preserve"> stipulates that any nationals under 12 years of age born in the ROC, including those with disabilities, shall be subject to </w:t>
      </w:r>
      <w:r w:rsidR="00D608C1">
        <w:rPr>
          <w:rFonts w:ascii="Times New Roman" w:eastAsia="標楷體" w:hAnsi="Times New Roman" w:cs="Times New Roman"/>
          <w:szCs w:val="24"/>
        </w:rPr>
        <w:t>b</w:t>
      </w:r>
      <w:r w:rsidRPr="00885A57">
        <w:rPr>
          <w:rFonts w:ascii="Times New Roman" w:eastAsia="標楷體" w:hAnsi="Times New Roman" w:cs="Times New Roman"/>
          <w:szCs w:val="24"/>
        </w:rPr>
        <w:t xml:space="preserve">irth </w:t>
      </w:r>
      <w:r w:rsidR="00D608C1">
        <w:rPr>
          <w:rFonts w:ascii="Times New Roman" w:eastAsia="標楷體" w:hAnsi="Times New Roman" w:cs="Times New Roman"/>
          <w:szCs w:val="24"/>
        </w:rPr>
        <w:t>r</w:t>
      </w:r>
      <w:r w:rsidR="00D608C1" w:rsidRPr="00885A57">
        <w:rPr>
          <w:rFonts w:ascii="Times New Roman" w:eastAsia="標楷體" w:hAnsi="Times New Roman" w:cs="Times New Roman"/>
          <w:szCs w:val="24"/>
        </w:rPr>
        <w:t>egistration</w:t>
      </w:r>
      <w:r w:rsidRPr="00885A57">
        <w:rPr>
          <w:rFonts w:ascii="Times New Roman" w:eastAsia="標楷體" w:hAnsi="Times New Roman" w:cs="Times New Roman"/>
          <w:szCs w:val="24"/>
        </w:rPr>
        <w:t>. Where an abandoned or helpless child is found and reported to a police authority by the finder or a child and youth welfare institution, the police authority will then issue an official document specifying the finder’s name, time and place where the child was found, and physical characteristics of the abandoned or helpless child, which an applicant shall submit to a household registration office for household registration of the child.</w:t>
      </w:r>
    </w:p>
    <w:p w14:paraId="2883DE3D" w14:textId="44B6F7CD" w:rsidR="008F0581" w:rsidRPr="00885A57" w:rsidRDefault="00532C5C"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15" w:name="_Ref55910588"/>
      <w:r w:rsidRPr="00885A57">
        <w:rPr>
          <w:rFonts w:ascii="Times New Roman" w:eastAsia="標楷體" w:hAnsi="Times New Roman" w:cs="Times New Roman"/>
          <w:szCs w:val="24"/>
        </w:rPr>
        <w:t xml:space="preserve">The existing regulations on entry </w:t>
      </w:r>
      <w:r w:rsidR="00D608C1">
        <w:rPr>
          <w:rFonts w:ascii="Times New Roman" w:eastAsia="標楷體" w:hAnsi="Times New Roman" w:cs="Times New Roman"/>
          <w:szCs w:val="24"/>
        </w:rPr>
        <w:t>in</w:t>
      </w:r>
      <w:r w:rsidRPr="00885A57">
        <w:rPr>
          <w:rFonts w:ascii="Times New Roman" w:eastAsia="標楷體" w:hAnsi="Times New Roman" w:cs="Times New Roman"/>
          <w:szCs w:val="24"/>
        </w:rPr>
        <w:t xml:space="preserve">to and departure from </w:t>
      </w:r>
      <w:r w:rsidR="00D608C1">
        <w:rPr>
          <w:rFonts w:ascii="Times New Roman" w:eastAsia="標楷體" w:hAnsi="Times New Roman" w:cs="Times New Roman"/>
          <w:szCs w:val="24"/>
        </w:rPr>
        <w:t xml:space="preserve">the nation </w:t>
      </w:r>
      <w:r w:rsidRPr="00885A57">
        <w:rPr>
          <w:rFonts w:ascii="Times New Roman" w:eastAsia="標楷體" w:hAnsi="Times New Roman" w:cs="Times New Roman"/>
          <w:szCs w:val="24"/>
        </w:rPr>
        <w:t xml:space="preserve">allow entry or departure as long as the person in question presents the required documents </w:t>
      </w:r>
      <w:r w:rsidRPr="00885A57">
        <w:rPr>
          <w:rFonts w:ascii="Times New Roman" w:eastAsia="標楷體" w:hAnsi="Times New Roman" w:cs="Times New Roman"/>
          <w:szCs w:val="24"/>
        </w:rPr>
        <w:lastRenderedPageBreak/>
        <w:t xml:space="preserve">and is not subject to any restrictions on entry to or exit; the regulations equivalently apply to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without discrimination. Notably, Article 18 of the </w:t>
      </w:r>
      <w:r w:rsidRPr="002153DE">
        <w:rPr>
          <w:rFonts w:ascii="Times New Roman" w:eastAsia="標楷體" w:hAnsi="Times New Roman" w:cs="Times New Roman"/>
          <w:iCs/>
          <w:szCs w:val="24"/>
        </w:rPr>
        <w:t>Immigration Act</w:t>
      </w:r>
      <w:r w:rsidRPr="00885A57">
        <w:rPr>
          <w:rFonts w:ascii="Times New Roman" w:eastAsia="標楷體" w:hAnsi="Times New Roman" w:cs="Times New Roman"/>
          <w:szCs w:val="24"/>
        </w:rPr>
        <w:t xml:space="preserve"> </w:t>
      </w:r>
      <w:r w:rsidR="00D608C1">
        <w:rPr>
          <w:rFonts w:ascii="Times New Roman" w:eastAsia="標楷體" w:hAnsi="Times New Roman" w:cs="Times New Roman"/>
          <w:szCs w:val="24"/>
        </w:rPr>
        <w:t xml:space="preserve">requires that the </w:t>
      </w:r>
      <w:r w:rsidRPr="00885A57">
        <w:rPr>
          <w:rFonts w:ascii="Times New Roman" w:eastAsia="標楷體" w:hAnsi="Times New Roman" w:cs="Times New Roman"/>
          <w:szCs w:val="24"/>
        </w:rPr>
        <w:t xml:space="preserve">government shall prohibit an alien from entering </w:t>
      </w:r>
      <w:r w:rsidR="00D608C1">
        <w:rPr>
          <w:rFonts w:ascii="Times New Roman" w:eastAsia="標楷體" w:hAnsi="Times New Roman" w:cs="Times New Roman"/>
          <w:szCs w:val="24"/>
        </w:rPr>
        <w:t xml:space="preserve">the nation </w:t>
      </w:r>
      <w:r w:rsidRPr="00885A57">
        <w:rPr>
          <w:rFonts w:ascii="Times New Roman" w:eastAsia="標楷體" w:hAnsi="Times New Roman" w:cs="Times New Roman"/>
          <w:szCs w:val="24"/>
        </w:rPr>
        <w:t xml:space="preserve">if they have a contagious disease, a mental disease, or other diseases that may jeopardize public health or social peace. An investigation revealed that no cases of refused entry due to a mental disease have occurred since 2013. Nevertheless, to safeguard the liberty of movement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the government has removed terms including mental disease in the draft amendment to the Immigration Act, which was approved after </w:t>
      </w:r>
      <w:r w:rsidR="00D608C1">
        <w:rPr>
          <w:rFonts w:ascii="Times New Roman" w:eastAsia="標楷體" w:hAnsi="Times New Roman" w:cs="Times New Roman"/>
          <w:szCs w:val="24"/>
        </w:rPr>
        <w:t xml:space="preserve">a </w:t>
      </w:r>
      <w:r w:rsidRPr="00885A57">
        <w:rPr>
          <w:rFonts w:ascii="Times New Roman" w:eastAsia="標楷體" w:hAnsi="Times New Roman" w:cs="Times New Roman"/>
          <w:szCs w:val="24"/>
        </w:rPr>
        <w:t xml:space="preserve">review by the Executive Yuan in March 2019; upon enactment, the government will </w:t>
      </w:r>
      <w:r w:rsidR="00D608C1">
        <w:rPr>
          <w:rFonts w:ascii="Times New Roman" w:eastAsia="標楷體" w:hAnsi="Times New Roman" w:cs="Times New Roman"/>
          <w:szCs w:val="24"/>
        </w:rPr>
        <w:t xml:space="preserve">enforce </w:t>
      </w:r>
      <w:r w:rsidRPr="00885A57">
        <w:rPr>
          <w:rFonts w:ascii="Times New Roman" w:eastAsia="標楷體" w:hAnsi="Times New Roman" w:cs="Times New Roman"/>
          <w:szCs w:val="24"/>
        </w:rPr>
        <w:t>the amendment.</w:t>
      </w:r>
      <w:bookmarkEnd w:id="115"/>
      <w:r w:rsidR="00EC76F8" w:rsidRPr="00885A57">
        <w:rPr>
          <w:rFonts w:ascii="Times New Roman" w:eastAsia="標楷體" w:hAnsi="Times New Roman" w:cs="Times New Roman"/>
          <w:vertAlign w:val="superscript"/>
        </w:rPr>
        <w:footnoteReference w:id="69"/>
      </w:r>
    </w:p>
    <w:p w14:paraId="55EA36A0" w14:textId="5A9C2126" w:rsidR="00E939B1" w:rsidRPr="00885A57" w:rsidRDefault="00E571AF" w:rsidP="00177293">
      <w:pPr>
        <w:pStyle w:val="10"/>
        <w:spacing w:after="120" w:line="360" w:lineRule="auto"/>
        <w:rPr>
          <w:rFonts w:ascii="Times New Roman" w:hAnsi="Times New Roman"/>
        </w:rPr>
      </w:pPr>
      <w:bookmarkStart w:id="116" w:name="_Toc73108688"/>
      <w:r w:rsidRPr="00885A57">
        <w:rPr>
          <w:rFonts w:ascii="Times New Roman" w:hAnsi="Times New Roman"/>
        </w:rPr>
        <w:t>Article 19</w:t>
      </w:r>
      <w:bookmarkStart w:id="117" w:name="_Toc55900594"/>
      <w:r w:rsidR="00B645D5" w:rsidRPr="00885A57">
        <w:rPr>
          <w:rFonts w:ascii="Times New Roman" w:hAnsi="Times New Roman"/>
        </w:rPr>
        <w:t xml:space="preserve">: </w:t>
      </w:r>
      <w:r w:rsidRPr="00885A57">
        <w:rPr>
          <w:rFonts w:ascii="Times New Roman" w:hAnsi="Times New Roman"/>
        </w:rPr>
        <w:t>Living independently and being included in the community</w:t>
      </w:r>
      <w:bookmarkEnd w:id="116"/>
      <w:r w:rsidR="009B4852" w:rsidRPr="00885A57">
        <w:rPr>
          <w:rFonts w:ascii="Times New Roman" w:hAnsi="Times New Roman"/>
        </w:rPr>
        <w:tab/>
      </w:r>
      <w:bookmarkEnd w:id="117"/>
    </w:p>
    <w:p w14:paraId="1BDFB1C7" w14:textId="33B12DF8" w:rsidR="00F162F6" w:rsidRPr="00885A57" w:rsidRDefault="00EC76F8" w:rsidP="00722359">
      <w:pPr>
        <w:pStyle w:val="a7"/>
        <w:numPr>
          <w:ilvl w:val="0"/>
          <w:numId w:val="45"/>
        </w:numPr>
        <w:spacing w:after="120" w:line="360" w:lineRule="auto"/>
        <w:ind w:leftChars="0"/>
        <w:jc w:val="both"/>
        <w:rPr>
          <w:rFonts w:ascii="Times New Roman" w:eastAsia="標楷體" w:hAnsi="Times New Roman" w:cs="Times New Roman"/>
        </w:rPr>
      </w:pPr>
      <w:r w:rsidRPr="00885A57">
        <w:rPr>
          <w:rFonts w:ascii="Times New Roman" w:eastAsia="標楷體" w:hAnsi="Times New Roman" w:cs="Times New Roman"/>
          <w:szCs w:val="24"/>
        </w:rPr>
        <w:t xml:space="preserve">To facilitate </w:t>
      </w:r>
      <w:r w:rsidR="005754DB">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independent living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in the community, public respect and understanding of these individuals must be enhanced;</w:t>
      </w:r>
      <w:r w:rsidR="005D2F57">
        <w:rPr>
          <w:rFonts w:ascii="Times New Roman" w:eastAsia="標楷體" w:hAnsi="Times New Roman" w:cs="Times New Roman"/>
          <w:szCs w:val="24"/>
        </w:rPr>
        <w:t xml:space="preserve"> </w:t>
      </w:r>
      <w:r w:rsidR="00722359" w:rsidRPr="00722359">
        <w:rPr>
          <w:rFonts w:ascii="Times New Roman" w:eastAsia="標楷體" w:hAnsi="Times New Roman" w:cs="Times New Roman"/>
          <w:szCs w:val="24"/>
        </w:rPr>
        <w:t xml:space="preserve">accessible </w:t>
      </w:r>
      <w:r w:rsidRPr="00885A57">
        <w:rPr>
          <w:rFonts w:ascii="Times New Roman" w:eastAsia="標楷體" w:hAnsi="Times New Roman" w:cs="Times New Roman"/>
          <w:szCs w:val="24"/>
        </w:rPr>
        <w:t>environment</w:t>
      </w:r>
      <w:r w:rsidR="005754DB">
        <w:rPr>
          <w:rFonts w:ascii="Times New Roman" w:eastAsia="標楷體" w:hAnsi="Times New Roman" w:cs="Times New Roman"/>
          <w:szCs w:val="24"/>
        </w:rPr>
        <w:t>s</w:t>
      </w:r>
      <w:r w:rsidRPr="00885A57">
        <w:rPr>
          <w:rFonts w:ascii="Times New Roman" w:eastAsia="標楷體" w:hAnsi="Times New Roman" w:cs="Times New Roman"/>
          <w:szCs w:val="24"/>
        </w:rPr>
        <w:t xml:space="preserve"> must also be </w:t>
      </w:r>
      <w:r w:rsidR="005D2F57">
        <w:rPr>
          <w:rFonts w:ascii="Times New Roman" w:eastAsia="標楷體" w:hAnsi="Times New Roman" w:cs="Times New Roman"/>
          <w:szCs w:val="24"/>
        </w:rPr>
        <w:t>developed</w:t>
      </w:r>
      <w:r w:rsidRPr="00885A57">
        <w:rPr>
          <w:rFonts w:ascii="Times New Roman" w:eastAsia="標楷體" w:hAnsi="Times New Roman" w:cs="Times New Roman"/>
          <w:szCs w:val="24"/>
        </w:rPr>
        <w:t xml:space="preserve">, such as improved physical facilities and transportation services within communities and the provision of accessible residential facilities. During policy making and implementation, the government attempts to ensure comprehensive engagement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For specifics </w:t>
      </w:r>
      <w:r w:rsidR="005754DB">
        <w:rPr>
          <w:rFonts w:ascii="Times New Roman" w:eastAsia="標楷體" w:hAnsi="Times New Roman" w:cs="Times New Roman"/>
          <w:szCs w:val="24"/>
        </w:rPr>
        <w:t xml:space="preserve">on </w:t>
      </w:r>
      <w:r w:rsidRPr="00885A57">
        <w:rPr>
          <w:rFonts w:ascii="Times New Roman" w:eastAsia="標楷體" w:hAnsi="Times New Roman" w:cs="Times New Roman"/>
          <w:szCs w:val="24"/>
        </w:rPr>
        <w:t>such measures, please refer to Article</w:t>
      </w:r>
      <w:r w:rsidR="005D2F57">
        <w:rPr>
          <w:rFonts w:ascii="Times New Roman" w:eastAsia="標楷體" w:hAnsi="Times New Roman" w:cs="Times New Roman"/>
          <w:szCs w:val="24"/>
        </w:rPr>
        <w:t xml:space="preserve"> 8</w:t>
      </w:r>
      <w:r w:rsidR="005754DB">
        <w:rPr>
          <w:rFonts w:ascii="Times New Roman" w:eastAsia="標楷體" w:hAnsi="Times New Roman" w:cs="Times New Roman"/>
          <w:szCs w:val="24"/>
        </w:rPr>
        <w:t xml:space="preserve">: </w:t>
      </w:r>
      <w:r w:rsidR="005D2F57">
        <w:rPr>
          <w:rFonts w:ascii="Times New Roman" w:eastAsia="標楷體" w:hAnsi="Times New Roman" w:cs="Times New Roman"/>
          <w:szCs w:val="24"/>
        </w:rPr>
        <w:t>Awareness</w:t>
      </w:r>
      <w:r w:rsidR="003F6195">
        <w:rPr>
          <w:rFonts w:ascii="Times New Roman" w:eastAsia="標楷體" w:hAnsi="Times New Roman" w:cs="Times New Roman" w:hint="eastAsia"/>
          <w:szCs w:val="24"/>
        </w:rPr>
        <w:t xml:space="preserve"> </w:t>
      </w:r>
      <w:r w:rsidR="005D2F57">
        <w:rPr>
          <w:rFonts w:ascii="Times New Roman" w:eastAsia="標楷體" w:hAnsi="Times New Roman" w:cs="Times New Roman"/>
          <w:szCs w:val="24"/>
        </w:rPr>
        <w:t>raising, Article 9</w:t>
      </w:r>
      <w:r w:rsidR="005754DB">
        <w:rPr>
          <w:rFonts w:ascii="Times New Roman" w:eastAsia="標楷體" w:hAnsi="Times New Roman" w:cs="Times New Roman"/>
          <w:szCs w:val="24"/>
        </w:rPr>
        <w:t xml:space="preserve">: </w:t>
      </w:r>
      <w:r w:rsidR="005D2F57">
        <w:rPr>
          <w:rFonts w:ascii="Times New Roman" w:eastAsia="標楷體" w:hAnsi="Times New Roman" w:cs="Times New Roman"/>
          <w:szCs w:val="24"/>
        </w:rPr>
        <w:t>Accessibility, Article 28</w:t>
      </w:r>
      <w:r w:rsidR="005754DB">
        <w:rPr>
          <w:rFonts w:ascii="Times New Roman" w:eastAsia="標楷體" w:hAnsi="Times New Roman" w:cs="Times New Roman"/>
          <w:szCs w:val="24"/>
        </w:rPr>
        <w:t xml:space="preserve">: </w:t>
      </w:r>
      <w:r w:rsidRPr="00885A57">
        <w:rPr>
          <w:rFonts w:ascii="Times New Roman" w:eastAsia="標楷體" w:hAnsi="Times New Roman" w:cs="Times New Roman"/>
          <w:szCs w:val="24"/>
        </w:rPr>
        <w:t>Adequate standard of living and so</w:t>
      </w:r>
      <w:r w:rsidR="005D2F57">
        <w:rPr>
          <w:rFonts w:ascii="Times New Roman" w:eastAsia="標楷體" w:hAnsi="Times New Roman" w:cs="Times New Roman"/>
          <w:szCs w:val="24"/>
        </w:rPr>
        <w:t>cial protection, and Article 33</w:t>
      </w:r>
      <w:r w:rsidR="005754DB">
        <w:rPr>
          <w:rFonts w:ascii="Times New Roman" w:eastAsia="標楷體" w:hAnsi="Times New Roman" w:cs="Times New Roman"/>
          <w:szCs w:val="24"/>
        </w:rPr>
        <w:t xml:space="preserve">: </w:t>
      </w:r>
      <w:r w:rsidRPr="00885A57">
        <w:rPr>
          <w:rFonts w:ascii="Times New Roman" w:eastAsia="標楷體" w:hAnsi="Times New Roman" w:cs="Times New Roman"/>
          <w:szCs w:val="24"/>
        </w:rPr>
        <w:lastRenderedPageBreak/>
        <w:t>National implementation and monitoring.</w:t>
      </w:r>
    </w:p>
    <w:p w14:paraId="6FB3E9B2" w14:textId="7ECE634A" w:rsidR="00344E6A" w:rsidRPr="00885A57" w:rsidRDefault="00EC76F8" w:rsidP="001A2139">
      <w:pPr>
        <w:pStyle w:val="a7"/>
        <w:numPr>
          <w:ilvl w:val="0"/>
          <w:numId w:val="16"/>
        </w:numPr>
        <w:spacing w:after="120" w:line="360" w:lineRule="auto"/>
        <w:ind w:leftChars="0"/>
        <w:jc w:val="both"/>
        <w:rPr>
          <w:rFonts w:ascii="Times New Roman" w:eastAsia="標楷體" w:hAnsi="Times New Roman" w:cs="Times New Roman"/>
        </w:rPr>
      </w:pPr>
      <w:r w:rsidRPr="00885A57">
        <w:rPr>
          <w:rFonts w:ascii="Times New Roman" w:eastAsia="標楷體" w:hAnsi="Times New Roman" w:cs="Times New Roman"/>
          <w:szCs w:val="24"/>
        </w:rPr>
        <w:t>Support for independent living</w:t>
      </w:r>
    </w:p>
    <w:p w14:paraId="36C60D18" w14:textId="375D36F3" w:rsidR="0018248C" w:rsidRPr="00885A57" w:rsidRDefault="00EC76F8" w:rsidP="00177293">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To help people with disabilities independently make decisions and choices and be responsible for their decisions or choices, support for independent living was added to the PDRPA as a legal service in 2012. Each local government is to provide empowerment, peer support, and personal assistant services for people with disabilities</w:t>
      </w:r>
      <w:r w:rsidR="00C47DFA">
        <w:rPr>
          <w:rFonts w:ascii="Times New Roman" w:eastAsia="標楷體" w:hAnsi="Times New Roman" w:cs="Times New Roman"/>
          <w:szCs w:val="24"/>
        </w:rPr>
        <w:t xml:space="preserve"> as well as implement </w:t>
      </w:r>
      <w:r w:rsidR="00C47DFA" w:rsidRPr="00885A57">
        <w:rPr>
          <w:rFonts w:ascii="Times New Roman" w:eastAsia="標楷體" w:hAnsi="Times New Roman" w:cs="Times New Roman"/>
          <w:szCs w:val="24"/>
        </w:rPr>
        <w:t>the Independent Living Program</w:t>
      </w:r>
      <w:r w:rsidRPr="00885A57">
        <w:rPr>
          <w:rFonts w:ascii="Times New Roman" w:eastAsia="標楷體" w:hAnsi="Times New Roman" w:cs="Times New Roman"/>
          <w:szCs w:val="24"/>
        </w:rPr>
        <w:t xml:space="preserve">. In 2018, </w:t>
      </w:r>
      <w:r w:rsidR="005754DB">
        <w:rPr>
          <w:rFonts w:ascii="Times New Roman" w:eastAsia="標楷體" w:hAnsi="Times New Roman" w:cs="Times New Roman"/>
          <w:szCs w:val="24"/>
        </w:rPr>
        <w:t xml:space="preserve">three </w:t>
      </w:r>
      <w:r w:rsidRPr="00885A57">
        <w:rPr>
          <w:rFonts w:ascii="Times New Roman" w:eastAsia="標楷體" w:hAnsi="Times New Roman" w:cs="Times New Roman"/>
          <w:szCs w:val="24"/>
        </w:rPr>
        <w:t>independent living service center</w:t>
      </w:r>
      <w:r w:rsidR="005754DB">
        <w:rPr>
          <w:rFonts w:ascii="Times New Roman" w:eastAsia="標楷體" w:hAnsi="Times New Roman" w:cs="Times New Roman"/>
          <w:szCs w:val="24"/>
        </w:rPr>
        <w:t>s</w:t>
      </w:r>
      <w:r w:rsidRPr="00885A57">
        <w:rPr>
          <w:rFonts w:ascii="Times New Roman" w:eastAsia="標楷體" w:hAnsi="Times New Roman" w:cs="Times New Roman"/>
          <w:szCs w:val="24"/>
        </w:rPr>
        <w:t xml:space="preserve"> </w:t>
      </w:r>
      <w:r w:rsidR="005754DB">
        <w:rPr>
          <w:rFonts w:ascii="Times New Roman" w:eastAsia="標楷體" w:hAnsi="Times New Roman" w:cs="Times New Roman"/>
          <w:szCs w:val="24"/>
        </w:rPr>
        <w:t xml:space="preserve">were founded, one each in </w:t>
      </w:r>
      <w:r w:rsidRPr="00885A57">
        <w:rPr>
          <w:rFonts w:ascii="Times New Roman" w:eastAsia="標楷體" w:hAnsi="Times New Roman" w:cs="Times New Roman"/>
          <w:szCs w:val="24"/>
        </w:rPr>
        <w:t>northern, central, and southern Taiwan where visitors can try independent living services, thereby empowering people with disabilities to live independently in communities.</w:t>
      </w:r>
    </w:p>
    <w:p w14:paraId="66F11F7E" w14:textId="758EA776" w:rsidR="0018248C" w:rsidRPr="00885A57" w:rsidRDefault="00EC76F8"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Statistics of independent living support are detailed as follows:</w:t>
      </w:r>
    </w:p>
    <w:p w14:paraId="2FC68433" w14:textId="25BE6F96" w:rsidR="00EC76F8" w:rsidRPr="00885A57" w:rsidRDefault="005754DB" w:rsidP="001A2139">
      <w:pPr>
        <w:pStyle w:val="a7"/>
        <w:numPr>
          <w:ilvl w:val="0"/>
          <w:numId w:val="19"/>
        </w:numPr>
        <w:spacing w:after="120" w:line="360" w:lineRule="auto"/>
        <w:ind w:leftChars="0"/>
        <w:jc w:val="both"/>
        <w:rPr>
          <w:rFonts w:ascii="Times New Roman" w:eastAsia="標楷體" w:hAnsi="Times New Roman" w:cs="Times New Roman"/>
          <w:szCs w:val="24"/>
        </w:rPr>
      </w:pPr>
      <w:r>
        <w:rPr>
          <w:rFonts w:ascii="Times New Roman" w:eastAsia="標楷體" w:hAnsi="Times New Roman" w:cs="Times New Roman"/>
          <w:szCs w:val="24"/>
        </w:rPr>
        <w:t xml:space="preserve">Since </w:t>
      </w:r>
      <w:r w:rsidR="00EC76F8" w:rsidRPr="00885A57">
        <w:rPr>
          <w:rFonts w:ascii="Times New Roman" w:eastAsia="標楷體" w:hAnsi="Times New Roman" w:cs="Times New Roman"/>
          <w:szCs w:val="24"/>
        </w:rPr>
        <w:t xml:space="preserve">the inclusion of independent living support in the social welfare fund under </w:t>
      </w:r>
      <w:r>
        <w:rPr>
          <w:rFonts w:ascii="Times New Roman" w:eastAsia="標楷體" w:hAnsi="Times New Roman" w:cs="Times New Roman"/>
          <w:szCs w:val="24"/>
        </w:rPr>
        <w:t xml:space="preserve">the </w:t>
      </w:r>
      <w:r w:rsidR="00EC76F8" w:rsidRPr="00885A57">
        <w:rPr>
          <w:rFonts w:ascii="Times New Roman" w:eastAsia="標楷體" w:hAnsi="Times New Roman" w:cs="Times New Roman"/>
          <w:szCs w:val="24"/>
        </w:rPr>
        <w:t>national government budget</w:t>
      </w:r>
      <w:r w:rsidR="00EC76F8" w:rsidRPr="00885A57">
        <w:rPr>
          <w:rStyle w:val="ab"/>
          <w:rFonts w:ascii="Times New Roman" w:eastAsia="標楷體" w:hAnsi="Times New Roman" w:cs="Times New Roman"/>
        </w:rPr>
        <w:footnoteReference w:id="70"/>
      </w:r>
      <w:r w:rsidR="00EC76F8" w:rsidRPr="00885A57">
        <w:rPr>
          <w:rFonts w:ascii="Times New Roman" w:eastAsia="標楷體" w:hAnsi="Times New Roman" w:cs="Times New Roman"/>
          <w:szCs w:val="24"/>
        </w:rPr>
        <w:t xml:space="preserve"> </w:t>
      </w:r>
      <w:r>
        <w:rPr>
          <w:rFonts w:ascii="Times New Roman" w:eastAsia="標楷體" w:hAnsi="Times New Roman" w:cs="Times New Roman"/>
          <w:szCs w:val="24"/>
        </w:rPr>
        <w:t xml:space="preserve">starting in </w:t>
      </w:r>
      <w:r w:rsidR="00EC76F8" w:rsidRPr="00885A57">
        <w:rPr>
          <w:rFonts w:ascii="Times New Roman" w:eastAsia="標楷體" w:hAnsi="Times New Roman" w:cs="Times New Roman"/>
          <w:szCs w:val="24"/>
        </w:rPr>
        <w:t xml:space="preserve">2012, the independent living support budget increased from roughly NT$24.68 million in 2016 to approximately NT$61.90 million in 2020, </w:t>
      </w:r>
      <w:r w:rsidR="005416ED">
        <w:rPr>
          <w:rFonts w:ascii="Times New Roman" w:eastAsia="標楷體" w:hAnsi="Times New Roman" w:cs="Times New Roman"/>
          <w:szCs w:val="24"/>
        </w:rPr>
        <w:t>or</w:t>
      </w:r>
      <w:r w:rsidR="00EC76F8" w:rsidRPr="00885A57">
        <w:rPr>
          <w:rFonts w:ascii="Times New Roman" w:eastAsia="標楷體" w:hAnsi="Times New Roman" w:cs="Times New Roman"/>
          <w:szCs w:val="24"/>
        </w:rPr>
        <w:t xml:space="preserve"> growth of 150</w:t>
      </w:r>
      <w:r w:rsidR="00787A2A">
        <w:rPr>
          <w:rFonts w:ascii="Times New Roman" w:eastAsia="標楷體" w:hAnsi="Times New Roman" w:cs="Times New Roman"/>
          <w:szCs w:val="24"/>
        </w:rPr>
        <w:t xml:space="preserve"> percent</w:t>
      </w:r>
      <w:r w:rsidR="00EC76F8" w:rsidRPr="00885A57">
        <w:rPr>
          <w:rFonts w:ascii="Times New Roman" w:eastAsia="標楷體" w:hAnsi="Times New Roman" w:cs="Times New Roman"/>
          <w:szCs w:val="24"/>
        </w:rPr>
        <w:t>.</w:t>
      </w:r>
      <w:r w:rsidR="00EC76F8" w:rsidRPr="00885A57">
        <w:rPr>
          <w:rFonts w:ascii="Times New Roman" w:eastAsia="標楷體" w:hAnsi="Times New Roman" w:cs="Times New Roman"/>
          <w:vertAlign w:val="superscript"/>
        </w:rPr>
        <w:footnoteReference w:id="71"/>
      </w:r>
    </w:p>
    <w:p w14:paraId="6DCA73DD" w14:textId="419DAD61" w:rsidR="00EC76F8" w:rsidRPr="00885A57" w:rsidRDefault="00EC76F8" w:rsidP="001A2139">
      <w:pPr>
        <w:pStyle w:val="a7"/>
        <w:numPr>
          <w:ilvl w:val="0"/>
          <w:numId w:val="19"/>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lastRenderedPageBreak/>
        <w:t xml:space="preserve">The demand for independent living support increased from 2015 to 2019, with 390, 445, 508, 614, and 668 support recipients in 2015, 2016, 2017, 2018, and 2019, respectively. In 2019, the government commissioned expert groups to provide guidance to city/county governments and </w:t>
      </w:r>
      <w:r w:rsidR="00C2133A">
        <w:rPr>
          <w:rFonts w:ascii="Times New Roman" w:eastAsia="標楷體" w:hAnsi="Times New Roman" w:cs="Times New Roman"/>
          <w:szCs w:val="24"/>
        </w:rPr>
        <w:t xml:space="preserve">hosted </w:t>
      </w:r>
      <w:r w:rsidRPr="00885A57">
        <w:rPr>
          <w:rFonts w:ascii="Times New Roman" w:eastAsia="標楷體" w:hAnsi="Times New Roman" w:cs="Times New Roman"/>
          <w:szCs w:val="24"/>
        </w:rPr>
        <w:t xml:space="preserve">pilot seminars </w:t>
      </w:r>
      <w:r w:rsidR="00C2133A">
        <w:rPr>
          <w:rFonts w:ascii="Times New Roman" w:eastAsia="標楷體" w:hAnsi="Times New Roman" w:cs="Times New Roman"/>
          <w:szCs w:val="24"/>
        </w:rPr>
        <w:t>for</w:t>
      </w:r>
      <w:r w:rsidR="00C2133A"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districts, aiming to improve service capacity.</w:t>
      </w:r>
    </w:p>
    <w:p w14:paraId="0ACBCF3D" w14:textId="426419C1" w:rsidR="00EC76F8" w:rsidRPr="00885A57" w:rsidRDefault="00EC76F8" w:rsidP="001A2139">
      <w:pPr>
        <w:pStyle w:val="a7"/>
        <w:numPr>
          <w:ilvl w:val="0"/>
          <w:numId w:val="19"/>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Peer support: The number of individuals receiving peer support increased from 231 in 2015 to 295 in 2019, for an increase of 27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(Table 19.1). DPOs have also widely applied such service</w:t>
      </w:r>
      <w:r w:rsidR="001E749F">
        <w:rPr>
          <w:rFonts w:ascii="Times New Roman" w:eastAsia="標楷體" w:hAnsi="Times New Roman" w:cs="Times New Roman"/>
          <w:szCs w:val="24"/>
        </w:rPr>
        <w:t>s</w:t>
      </w:r>
      <w:r w:rsidRPr="00885A57">
        <w:rPr>
          <w:rFonts w:ascii="Times New Roman" w:eastAsia="標楷體" w:hAnsi="Times New Roman" w:cs="Times New Roman"/>
          <w:szCs w:val="24"/>
        </w:rPr>
        <w:t xml:space="preserve"> to support and assist people with social and psychological</w:t>
      </w:r>
      <w:r w:rsidR="00C2133A">
        <w:rPr>
          <w:rFonts w:ascii="Times New Roman" w:eastAsia="標楷體" w:hAnsi="Times New Roman" w:cs="Times New Roman"/>
          <w:szCs w:val="24"/>
        </w:rPr>
        <w:t xml:space="preserve"> disabilities</w:t>
      </w:r>
      <w:r w:rsidRPr="00885A57">
        <w:rPr>
          <w:rFonts w:ascii="Times New Roman" w:eastAsia="標楷體" w:hAnsi="Times New Roman" w:cs="Times New Roman"/>
          <w:szCs w:val="24"/>
        </w:rPr>
        <w:t>.</w:t>
      </w:r>
    </w:p>
    <w:p w14:paraId="47DA04A4" w14:textId="153CD21D" w:rsidR="00EC76F8" w:rsidRPr="00885A57" w:rsidRDefault="00EC76F8" w:rsidP="001A2139">
      <w:pPr>
        <w:pStyle w:val="a7"/>
        <w:numPr>
          <w:ilvl w:val="0"/>
          <w:numId w:val="19"/>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In 2019, the government developed a seven-hour online course for peer supporters, aiming to diversify the population of supporters </w:t>
      </w:r>
      <w:r w:rsidR="00C2133A">
        <w:rPr>
          <w:rFonts w:ascii="Times New Roman" w:eastAsia="標楷體" w:hAnsi="Times New Roman" w:cs="Times New Roman"/>
          <w:szCs w:val="24"/>
        </w:rPr>
        <w:t xml:space="preserve">with </w:t>
      </w:r>
      <w:r w:rsidRPr="00885A57">
        <w:rPr>
          <w:rFonts w:ascii="Times New Roman" w:eastAsia="標楷體" w:hAnsi="Times New Roman" w:cs="Times New Roman"/>
          <w:szCs w:val="24"/>
        </w:rPr>
        <w:t>various disabilities and facilitate course participation for people with disabilities. In August 2020, the Independent Living Platform formally went live to provide sufficient peer support and independent living information for people with disabilities.</w:t>
      </w:r>
    </w:p>
    <w:p w14:paraId="11F0EB3C" w14:textId="12106BBD" w:rsidR="00EC76F8" w:rsidRPr="00885A57" w:rsidRDefault="00EC76F8" w:rsidP="001A2139">
      <w:pPr>
        <w:pStyle w:val="a7"/>
        <w:numPr>
          <w:ilvl w:val="0"/>
          <w:numId w:val="19"/>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Personal assistants: The number of personal assistants increased </w:t>
      </w:r>
      <w:r w:rsidR="00C2133A">
        <w:rPr>
          <w:rFonts w:ascii="Times New Roman" w:eastAsia="標楷體" w:hAnsi="Times New Roman" w:cs="Times New Roman"/>
          <w:szCs w:val="24"/>
        </w:rPr>
        <w:t xml:space="preserve">from </w:t>
      </w:r>
      <w:r w:rsidRPr="00885A57">
        <w:rPr>
          <w:rFonts w:ascii="Times New Roman" w:eastAsia="標楷體" w:hAnsi="Times New Roman" w:cs="Times New Roman"/>
          <w:szCs w:val="24"/>
        </w:rPr>
        <w:t>250 in 2015 to 372 in 2019, representing a growth rate of 49</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and that of individuals receiving personal assistants’ service</w:t>
      </w:r>
      <w:r w:rsidR="00C2133A">
        <w:rPr>
          <w:rFonts w:ascii="Times New Roman" w:eastAsia="標楷體" w:hAnsi="Times New Roman" w:cs="Times New Roman"/>
          <w:szCs w:val="24"/>
        </w:rPr>
        <w:t>s</w:t>
      </w:r>
      <w:r w:rsidRPr="00885A57">
        <w:rPr>
          <w:rFonts w:ascii="Times New Roman" w:eastAsia="標楷體" w:hAnsi="Times New Roman" w:cs="Times New Roman"/>
          <w:szCs w:val="24"/>
        </w:rPr>
        <w:t xml:space="preserve"> surged from 286 to 592 during the same period, </w:t>
      </w:r>
      <w:r w:rsidR="00C2133A">
        <w:rPr>
          <w:rFonts w:ascii="Times New Roman" w:eastAsia="標楷體" w:hAnsi="Times New Roman" w:cs="Times New Roman"/>
          <w:szCs w:val="24"/>
        </w:rPr>
        <w:t xml:space="preserve">an increase of </w:t>
      </w:r>
      <w:r w:rsidRPr="00885A57">
        <w:rPr>
          <w:rFonts w:ascii="Times New Roman" w:eastAsia="標楷體" w:hAnsi="Times New Roman" w:cs="Times New Roman"/>
          <w:szCs w:val="24"/>
        </w:rPr>
        <w:t>107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The 2015</w:t>
      </w:r>
      <w:r w:rsidR="00C2133A">
        <w:rPr>
          <w:rFonts w:ascii="Times New Roman" w:eastAsia="標楷體" w:hAnsi="Times New Roman" w:cs="Times New Roman"/>
          <w:szCs w:val="24"/>
        </w:rPr>
        <w:t>-</w:t>
      </w:r>
      <w:r w:rsidRPr="00885A57">
        <w:rPr>
          <w:rFonts w:ascii="Times New Roman" w:eastAsia="標楷體" w:hAnsi="Times New Roman" w:cs="Times New Roman"/>
          <w:szCs w:val="24"/>
        </w:rPr>
        <w:t>2019 period also witnessed a major increase in the total duration of personal assistant services from 62,585 hours to 139,780 hours, representing an increase of 123</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(Table 19.2).</w:t>
      </w:r>
    </w:p>
    <w:p w14:paraId="627D2699" w14:textId="1B01DDB8" w:rsidR="00EC76F8" w:rsidRPr="00885A57" w:rsidRDefault="00EC76F8" w:rsidP="001A2139">
      <w:pPr>
        <w:pStyle w:val="a7"/>
        <w:numPr>
          <w:ilvl w:val="0"/>
          <w:numId w:val="19"/>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incentivize working as a personal assistant, the hourly base rate for the </w:t>
      </w:r>
      <w:r w:rsidRPr="00885A57">
        <w:rPr>
          <w:rFonts w:ascii="Times New Roman" w:eastAsia="標楷體" w:hAnsi="Times New Roman" w:cs="Times New Roman"/>
          <w:szCs w:val="24"/>
        </w:rPr>
        <w:lastRenderedPageBreak/>
        <w:t>personal assistant allowance was increased by 42.9</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from 2017 to 2020.</w:t>
      </w:r>
    </w:p>
    <w:p w14:paraId="763EB88F" w14:textId="047060D3" w:rsidR="00EC76F8" w:rsidRPr="007F23CB" w:rsidRDefault="00EC76F8" w:rsidP="001A2139">
      <w:pPr>
        <w:pStyle w:val="a7"/>
        <w:numPr>
          <w:ilvl w:val="0"/>
          <w:numId w:val="19"/>
        </w:numPr>
        <w:spacing w:after="120" w:line="360" w:lineRule="auto"/>
        <w:ind w:leftChars="0"/>
        <w:jc w:val="both"/>
        <w:rPr>
          <w:rFonts w:ascii="Times New Roman" w:eastAsia="標楷體" w:hAnsi="Times New Roman" w:cs="Times New Roman"/>
          <w:szCs w:val="24"/>
        </w:rPr>
      </w:pPr>
      <w:r w:rsidRPr="007F23CB">
        <w:rPr>
          <w:rFonts w:ascii="Times New Roman" w:eastAsia="標楷體" w:hAnsi="Times New Roman" w:cs="Times New Roman"/>
          <w:szCs w:val="24"/>
        </w:rPr>
        <w:t xml:space="preserve">To reduce the </w:t>
      </w:r>
      <w:r w:rsidR="007F23CB">
        <w:rPr>
          <w:rFonts w:ascii="Times New Roman" w:eastAsia="標楷體" w:hAnsi="Times New Roman" w:cs="Times New Roman"/>
          <w:szCs w:val="24"/>
        </w:rPr>
        <w:t xml:space="preserve">cost </w:t>
      </w:r>
      <w:r w:rsidRPr="007F23CB">
        <w:rPr>
          <w:rFonts w:ascii="Times New Roman" w:eastAsia="標楷體" w:hAnsi="Times New Roman" w:cs="Times New Roman"/>
          <w:szCs w:val="24"/>
        </w:rPr>
        <w:t xml:space="preserve">burden of </w:t>
      </w:r>
      <w:r w:rsidR="00AF7591" w:rsidRPr="007F23CB">
        <w:rPr>
          <w:rFonts w:ascii="Times New Roman" w:eastAsia="標楷體" w:hAnsi="Times New Roman" w:cs="Times New Roman"/>
          <w:szCs w:val="24"/>
        </w:rPr>
        <w:t xml:space="preserve">personal assistants for people </w:t>
      </w:r>
      <w:r w:rsidRPr="007F23CB">
        <w:rPr>
          <w:rFonts w:ascii="Times New Roman" w:eastAsia="標楷體" w:hAnsi="Times New Roman" w:cs="Times New Roman"/>
          <w:szCs w:val="24"/>
        </w:rPr>
        <w:t xml:space="preserve">with disabilities, </w:t>
      </w:r>
      <w:r w:rsidR="00C2133A" w:rsidRPr="00DE0DB9">
        <w:rPr>
          <w:rFonts w:ascii="Times New Roman" w:eastAsia="標楷體" w:hAnsi="Times New Roman" w:cs="Times New Roman"/>
          <w:szCs w:val="24"/>
        </w:rPr>
        <w:t xml:space="preserve">the nation provides subsidies based on an </w:t>
      </w:r>
      <w:r w:rsidR="00AF7591" w:rsidRPr="007F23CB">
        <w:rPr>
          <w:rFonts w:ascii="Times New Roman" w:eastAsia="標楷體" w:hAnsi="Times New Roman" w:cs="Times New Roman"/>
          <w:szCs w:val="24"/>
        </w:rPr>
        <w:t xml:space="preserve">individual’s </w:t>
      </w:r>
      <w:r w:rsidRPr="007F23CB">
        <w:rPr>
          <w:rFonts w:ascii="Times New Roman" w:eastAsia="標楷體" w:hAnsi="Times New Roman" w:cs="Times New Roman"/>
          <w:szCs w:val="24"/>
        </w:rPr>
        <w:t>economic status. In 2019, Taiwan covered all the costs of personal assistants for 34</w:t>
      </w:r>
      <w:r w:rsidR="00787A2A" w:rsidRPr="007F23CB">
        <w:rPr>
          <w:rFonts w:ascii="Times New Roman" w:eastAsia="標楷體" w:hAnsi="Times New Roman" w:cs="Times New Roman"/>
          <w:szCs w:val="24"/>
        </w:rPr>
        <w:t xml:space="preserve"> percent</w:t>
      </w:r>
      <w:r w:rsidRPr="007F23CB">
        <w:rPr>
          <w:rFonts w:ascii="Times New Roman" w:eastAsia="標楷體" w:hAnsi="Times New Roman" w:cs="Times New Roman"/>
          <w:szCs w:val="24"/>
        </w:rPr>
        <w:t xml:space="preserve"> of personal assistant service users (201 out of 592 individuals), and 46</w:t>
      </w:r>
      <w:r w:rsidR="00787A2A" w:rsidRPr="007F23CB">
        <w:rPr>
          <w:rFonts w:ascii="Times New Roman" w:eastAsia="標楷體" w:hAnsi="Times New Roman" w:cs="Times New Roman"/>
          <w:szCs w:val="24"/>
        </w:rPr>
        <w:t xml:space="preserve"> percent</w:t>
      </w:r>
      <w:r w:rsidRPr="007F23CB">
        <w:rPr>
          <w:rFonts w:ascii="Times New Roman" w:eastAsia="標楷體" w:hAnsi="Times New Roman" w:cs="Times New Roman"/>
          <w:szCs w:val="24"/>
        </w:rPr>
        <w:t xml:space="preserve"> of these users (274 out of 592 individuals) had to pay </w:t>
      </w:r>
      <w:r w:rsidR="00A63368">
        <w:rPr>
          <w:rFonts w:ascii="Times New Roman" w:eastAsia="標楷體" w:hAnsi="Times New Roman" w:cs="Times New Roman"/>
          <w:szCs w:val="24"/>
        </w:rPr>
        <w:t xml:space="preserve">only </w:t>
      </w:r>
      <w:r w:rsidRPr="007F23CB">
        <w:rPr>
          <w:rFonts w:ascii="Times New Roman" w:eastAsia="標楷體" w:hAnsi="Times New Roman" w:cs="Times New Roman"/>
          <w:szCs w:val="24"/>
        </w:rPr>
        <w:t>10</w:t>
      </w:r>
      <w:r w:rsidR="00787A2A" w:rsidRPr="007F23CB">
        <w:rPr>
          <w:rFonts w:ascii="Times New Roman" w:eastAsia="標楷體" w:hAnsi="Times New Roman" w:cs="Times New Roman"/>
          <w:szCs w:val="24"/>
        </w:rPr>
        <w:t xml:space="preserve"> percent</w:t>
      </w:r>
      <w:r w:rsidRPr="007F23CB">
        <w:rPr>
          <w:rFonts w:ascii="Times New Roman" w:eastAsia="標楷體" w:hAnsi="Times New Roman" w:cs="Times New Roman"/>
          <w:szCs w:val="24"/>
        </w:rPr>
        <w:t xml:space="preserve"> of the entire cost. The subsidization ensured the provision of personal assistant service for people with disabilities.</w:t>
      </w:r>
      <w:r w:rsidRPr="007F23CB">
        <w:rPr>
          <w:rStyle w:val="ab"/>
          <w:rFonts w:ascii="Times New Roman" w:eastAsia="標楷體" w:hAnsi="Times New Roman" w:cs="Times New Roman"/>
        </w:rPr>
        <w:footnoteReference w:id="72"/>
      </w:r>
    </w:p>
    <w:p w14:paraId="77E6E8F5" w14:textId="4F36B9BA" w:rsidR="00344E6A" w:rsidRPr="00DE0DB9" w:rsidRDefault="00EC76F8" w:rsidP="001A2139">
      <w:pPr>
        <w:pStyle w:val="a7"/>
        <w:numPr>
          <w:ilvl w:val="0"/>
          <w:numId w:val="19"/>
        </w:numPr>
        <w:spacing w:after="120" w:line="360" w:lineRule="auto"/>
        <w:ind w:leftChars="0"/>
        <w:jc w:val="both"/>
        <w:rPr>
          <w:rFonts w:ascii="Times New Roman" w:eastAsia="標楷體" w:hAnsi="Times New Roman" w:cs="Times New Roman"/>
        </w:rPr>
      </w:pPr>
      <w:r w:rsidRPr="00DE0DB9">
        <w:rPr>
          <w:rFonts w:ascii="Times New Roman" w:eastAsia="標楷體" w:hAnsi="Times New Roman" w:cs="Times New Roman"/>
          <w:szCs w:val="24"/>
        </w:rPr>
        <w:t xml:space="preserve">Given that people with disabilities might </w:t>
      </w:r>
      <w:r w:rsidR="00A63368">
        <w:rPr>
          <w:rFonts w:ascii="Times New Roman" w:eastAsia="標楷體" w:hAnsi="Times New Roman" w:cs="Times New Roman"/>
          <w:szCs w:val="24"/>
        </w:rPr>
        <w:t>relocate</w:t>
      </w:r>
      <w:r w:rsidR="00A63368" w:rsidRPr="00DE0DB9">
        <w:rPr>
          <w:rFonts w:ascii="Times New Roman" w:eastAsia="標楷體" w:hAnsi="Times New Roman" w:cs="Times New Roman"/>
          <w:szCs w:val="24"/>
        </w:rPr>
        <w:t xml:space="preserve"> </w:t>
      </w:r>
      <w:r w:rsidRPr="00DE0DB9">
        <w:rPr>
          <w:rFonts w:ascii="Times New Roman" w:eastAsia="標楷體" w:hAnsi="Times New Roman" w:cs="Times New Roman"/>
          <w:szCs w:val="24"/>
        </w:rPr>
        <w:t>to other cities, the central government</w:t>
      </w:r>
      <w:r w:rsidR="00EB4D22">
        <w:rPr>
          <w:rFonts w:ascii="Times New Roman" w:eastAsia="標楷體" w:hAnsi="Times New Roman" w:cs="Times New Roman"/>
          <w:szCs w:val="24"/>
        </w:rPr>
        <w:t xml:space="preserve">, in order to </w:t>
      </w:r>
      <w:r w:rsidRPr="00DE0DB9">
        <w:rPr>
          <w:rFonts w:ascii="Times New Roman" w:eastAsia="標楷體" w:hAnsi="Times New Roman" w:cs="Times New Roman"/>
          <w:szCs w:val="24"/>
        </w:rPr>
        <w:t>provide services for those whose registered domicile is different from the place they currently live</w:t>
      </w:r>
      <w:r w:rsidR="00EB4D22">
        <w:rPr>
          <w:rFonts w:ascii="Times New Roman" w:eastAsia="標楷體" w:hAnsi="Times New Roman" w:cs="Times New Roman"/>
          <w:szCs w:val="24"/>
        </w:rPr>
        <w:t xml:space="preserve">, </w:t>
      </w:r>
      <w:r w:rsidRPr="00DE0DB9">
        <w:rPr>
          <w:rFonts w:ascii="Times New Roman" w:eastAsia="標楷體" w:hAnsi="Times New Roman" w:cs="Times New Roman"/>
          <w:szCs w:val="24"/>
        </w:rPr>
        <w:t xml:space="preserve">negotiated with local governments to provide cross-jurisdiction services according to the principle of reciprocity in 2018. </w:t>
      </w:r>
      <w:r w:rsidR="00EB4D22">
        <w:rPr>
          <w:rFonts w:ascii="Times New Roman" w:eastAsia="標楷體" w:hAnsi="Times New Roman" w:cs="Times New Roman"/>
          <w:szCs w:val="24"/>
        </w:rPr>
        <w:t>P</w:t>
      </w:r>
      <w:r w:rsidRPr="00DE0DB9">
        <w:rPr>
          <w:rFonts w:ascii="Times New Roman" w:eastAsia="標楷體" w:hAnsi="Times New Roman" w:cs="Times New Roman"/>
          <w:szCs w:val="24"/>
        </w:rPr>
        <w:t xml:space="preserve">eople with disabilities may submit an application to the local government of their domicile or residence, upon receipt of which the government </w:t>
      </w:r>
      <w:r w:rsidR="00EB4D22">
        <w:rPr>
          <w:rFonts w:ascii="Times New Roman" w:eastAsia="標楷體" w:hAnsi="Times New Roman" w:cs="Times New Roman"/>
          <w:szCs w:val="24"/>
        </w:rPr>
        <w:t xml:space="preserve">will </w:t>
      </w:r>
      <w:r w:rsidRPr="00DE0DB9">
        <w:rPr>
          <w:rFonts w:ascii="Times New Roman" w:eastAsia="標楷體" w:hAnsi="Times New Roman" w:cs="Times New Roman"/>
          <w:szCs w:val="24"/>
        </w:rPr>
        <w:t xml:space="preserve">evaluate their needs and provide </w:t>
      </w:r>
      <w:r w:rsidR="00EB4D22">
        <w:rPr>
          <w:rFonts w:ascii="Times New Roman" w:eastAsia="標楷體" w:hAnsi="Times New Roman" w:cs="Times New Roman"/>
          <w:szCs w:val="24"/>
        </w:rPr>
        <w:t xml:space="preserve">local </w:t>
      </w:r>
      <w:r w:rsidRPr="00DE0DB9">
        <w:rPr>
          <w:rFonts w:ascii="Times New Roman" w:eastAsia="標楷體" w:hAnsi="Times New Roman" w:cs="Times New Roman"/>
          <w:szCs w:val="24"/>
        </w:rPr>
        <w:t>services for them.</w:t>
      </w:r>
    </w:p>
    <w:p w14:paraId="7083EB7F" w14:textId="68BA63F0" w:rsidR="00344E6A" w:rsidRPr="00885A57" w:rsidRDefault="00EC76F8" w:rsidP="001A2139">
      <w:pPr>
        <w:pStyle w:val="a7"/>
        <w:numPr>
          <w:ilvl w:val="0"/>
          <w:numId w:val="16"/>
        </w:numPr>
        <w:spacing w:after="120" w:line="360" w:lineRule="auto"/>
        <w:ind w:leftChars="0"/>
        <w:jc w:val="both"/>
        <w:rPr>
          <w:rFonts w:ascii="Times New Roman" w:eastAsia="標楷體" w:hAnsi="Times New Roman" w:cs="Times New Roman"/>
        </w:rPr>
      </w:pPr>
      <w:r w:rsidRPr="00885A57">
        <w:rPr>
          <w:rFonts w:ascii="Times New Roman" w:eastAsia="標楷體" w:hAnsi="Times New Roman" w:cs="Times New Roman"/>
          <w:szCs w:val="24"/>
        </w:rPr>
        <w:t>Personal care and family support</w:t>
      </w:r>
    </w:p>
    <w:p w14:paraId="48164551" w14:textId="26407BFA" w:rsidR="00344E6A" w:rsidRPr="00885A57" w:rsidRDefault="00EC76F8" w:rsidP="00177293">
      <w:pPr>
        <w:pStyle w:val="a7"/>
        <w:numPr>
          <w:ilvl w:val="0"/>
          <w:numId w:val="45"/>
        </w:numPr>
        <w:spacing w:after="120" w:line="360" w:lineRule="auto"/>
        <w:ind w:leftChars="0" w:left="567" w:hanging="567"/>
        <w:jc w:val="both"/>
        <w:rPr>
          <w:rFonts w:ascii="Times New Roman" w:eastAsia="標楷體" w:hAnsi="Times New Roman" w:cs="Times New Roman"/>
        </w:rPr>
      </w:pPr>
      <w:bookmarkStart w:id="118" w:name="_Ref55910641"/>
      <w:r w:rsidRPr="00885A57">
        <w:rPr>
          <w:rFonts w:ascii="Times New Roman" w:eastAsia="標楷體" w:hAnsi="Times New Roman" w:cs="Times New Roman"/>
          <w:szCs w:val="24"/>
        </w:rPr>
        <w:t>For people with disabilities and care needs living in communities, the government provides home care, daily living</w:t>
      </w:r>
      <w:r w:rsidR="00EB4D22">
        <w:rPr>
          <w:rFonts w:ascii="Times New Roman" w:eastAsia="標楷體" w:hAnsi="Times New Roman" w:cs="Times New Roman"/>
          <w:szCs w:val="24"/>
        </w:rPr>
        <w:t xml:space="preserve"> assistance</w:t>
      </w:r>
      <w:r w:rsidRPr="00885A57">
        <w:rPr>
          <w:rFonts w:ascii="Times New Roman" w:eastAsia="標楷體" w:hAnsi="Times New Roman" w:cs="Times New Roman"/>
          <w:szCs w:val="24"/>
        </w:rPr>
        <w:t>, residence/housing in community (group home)</w:t>
      </w:r>
      <w:r w:rsidR="00EB4D22">
        <w:rPr>
          <w:rFonts w:ascii="Times New Roman" w:eastAsia="標楷體" w:hAnsi="Times New Roman" w:cs="Times New Roman"/>
          <w:szCs w:val="24"/>
        </w:rPr>
        <w:t xml:space="preserve"> settings</w:t>
      </w:r>
      <w:r w:rsidRPr="00885A57">
        <w:rPr>
          <w:rFonts w:ascii="Times New Roman" w:eastAsia="標楷體" w:hAnsi="Times New Roman" w:cs="Times New Roman"/>
          <w:szCs w:val="24"/>
        </w:rPr>
        <w:t xml:space="preserve">, day care, home care services, and supportive </w:t>
      </w:r>
      <w:r w:rsidRPr="00885A57">
        <w:rPr>
          <w:rFonts w:ascii="Times New Roman" w:eastAsia="標楷體" w:hAnsi="Times New Roman" w:cs="Times New Roman"/>
          <w:szCs w:val="24"/>
        </w:rPr>
        <w:lastRenderedPageBreak/>
        <w:t xml:space="preserve">service for independent </w:t>
      </w:r>
      <w:r w:rsidR="00A63368">
        <w:rPr>
          <w:rFonts w:ascii="Times New Roman" w:eastAsia="標楷體" w:hAnsi="Times New Roman" w:cs="Times New Roman"/>
          <w:szCs w:val="24"/>
        </w:rPr>
        <w:t>living</w:t>
      </w:r>
      <w:r w:rsidRPr="00885A57">
        <w:rPr>
          <w:rFonts w:ascii="Times New Roman" w:eastAsia="標楷體" w:hAnsi="Times New Roman" w:cs="Times New Roman"/>
          <w:szCs w:val="24"/>
        </w:rPr>
        <w:t>. Service coverage increased from 14.84</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in 2017 to 32.05</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in 2019 (Table 19.3).</w:t>
      </w:r>
      <w:r w:rsidRPr="00885A57">
        <w:rPr>
          <w:rStyle w:val="ab"/>
          <w:rFonts w:ascii="Times New Roman" w:eastAsia="標楷體" w:hAnsi="Times New Roman" w:cs="Times New Roman"/>
        </w:rPr>
        <w:footnoteReference w:id="73"/>
      </w:r>
      <w:r w:rsidRPr="00885A57">
        <w:rPr>
          <w:rFonts w:ascii="Times New Roman" w:eastAsia="標楷體" w:hAnsi="Times New Roman" w:cs="Times New Roman"/>
          <w:szCs w:val="24"/>
        </w:rPr>
        <w:t xml:space="preserve"> In 2020, the central government introduced the innovative residence/housing in community (group home) and living service program to encourage local governments to develop innovative service models for people with disabilities living in their jurisdiction, such as providing training to prepare for independent living and outreach services for people with intellectual disabilities.</w:t>
      </w:r>
      <w:bookmarkEnd w:id="118"/>
      <w:r w:rsidRPr="00885A57">
        <w:rPr>
          <w:rStyle w:val="ab"/>
          <w:rFonts w:ascii="Times New Roman" w:eastAsia="標楷體" w:hAnsi="Times New Roman" w:cs="Times New Roman"/>
        </w:rPr>
        <w:footnoteReference w:id="74"/>
      </w:r>
    </w:p>
    <w:p w14:paraId="2FEF23D0" w14:textId="74C10EAA" w:rsidR="0090568E" w:rsidRPr="00885A57" w:rsidRDefault="00EC76F8"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Taiwan has launched </w:t>
      </w:r>
      <w:r w:rsidRPr="00885A57">
        <w:rPr>
          <w:rFonts w:ascii="Times New Roman" w:eastAsia="標楷體" w:hAnsi="Times New Roman" w:cs="Times New Roman"/>
          <w:bCs/>
          <w:szCs w:val="24"/>
        </w:rPr>
        <w:t xml:space="preserve">plans </w:t>
      </w:r>
      <w:r w:rsidR="006037E5">
        <w:rPr>
          <w:rFonts w:ascii="Times New Roman" w:eastAsia="標楷體" w:hAnsi="Times New Roman" w:cs="Times New Roman"/>
          <w:szCs w:val="24"/>
        </w:rPr>
        <w:t xml:space="preserve">for </w:t>
      </w:r>
      <w:r w:rsidRPr="00885A57">
        <w:rPr>
          <w:rFonts w:ascii="Times New Roman" w:eastAsia="標楷體" w:hAnsi="Times New Roman" w:cs="Times New Roman"/>
          <w:szCs w:val="24"/>
        </w:rPr>
        <w:t xml:space="preserve">community integration and organizational downsizing in the care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(2016</w:t>
      </w:r>
      <w:r w:rsidR="006037E5">
        <w:rPr>
          <w:rFonts w:ascii="Times New Roman" w:eastAsia="標楷體" w:hAnsi="Times New Roman" w:cs="Times New Roman"/>
          <w:szCs w:val="24"/>
        </w:rPr>
        <w:t>-</w:t>
      </w:r>
      <w:r w:rsidRPr="00885A57">
        <w:rPr>
          <w:rFonts w:ascii="Times New Roman" w:eastAsia="標楷體" w:hAnsi="Times New Roman" w:cs="Times New Roman"/>
          <w:szCs w:val="24"/>
        </w:rPr>
        <w:t xml:space="preserve">2020) and </w:t>
      </w:r>
      <w:r w:rsidR="00C47DFA">
        <w:rPr>
          <w:rFonts w:ascii="Times New Roman" w:eastAsia="標楷體" w:hAnsi="Times New Roman" w:cs="Times New Roman"/>
          <w:szCs w:val="24"/>
        </w:rPr>
        <w:t xml:space="preserve">plans </w:t>
      </w:r>
      <w:r w:rsidRPr="00885A57">
        <w:rPr>
          <w:rFonts w:ascii="Times New Roman" w:eastAsia="標楷體" w:hAnsi="Times New Roman" w:cs="Times New Roman"/>
          <w:szCs w:val="24"/>
        </w:rPr>
        <w:t>to establish community-based service centers. Between 2016 and 2019, government investment increased year by year (Table 19.4). The number of such centers grew from 543 to 726 (Table 19.5) for a growth rate of 33.7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and the number of service recipients surged from 9,581 to 11,763 for a 22.8</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increase. Additionally, the number of individuals receiving home care expanded from 30,182 to 44,780, representing an increase of 48.37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To provide services for community residents in need and institutional residents with the intention to live in communities, the government plans to annually strengthen the capacity of community-based care by providing services for an additional 1,250 individuals. Between 2020 and 2029, sufficient capacity is expected to serve an additional 12,500 individuals.</w:t>
      </w:r>
    </w:p>
    <w:p w14:paraId="4EEA732B" w14:textId="146CA9C1" w:rsidR="00344E6A" w:rsidRPr="00885A57" w:rsidRDefault="00EC76F8" w:rsidP="00C50226">
      <w:pPr>
        <w:pStyle w:val="a7"/>
        <w:numPr>
          <w:ilvl w:val="0"/>
          <w:numId w:val="45"/>
        </w:numPr>
        <w:spacing w:after="120" w:line="360" w:lineRule="auto"/>
        <w:ind w:leftChars="0" w:left="567" w:hanging="567"/>
        <w:jc w:val="both"/>
        <w:rPr>
          <w:rFonts w:ascii="Times New Roman" w:eastAsia="標楷體" w:hAnsi="Times New Roman" w:cs="Times New Roman"/>
        </w:rPr>
      </w:pPr>
      <w:bookmarkStart w:id="119" w:name="_Ref55910681"/>
      <w:r w:rsidRPr="00885A57">
        <w:rPr>
          <w:rFonts w:ascii="Times New Roman" w:eastAsia="標楷體" w:hAnsi="Times New Roman" w:cs="Times New Roman"/>
        </w:rPr>
        <w:t xml:space="preserve">Between 2016 and 2019, only one residential </w:t>
      </w:r>
      <w:r w:rsidR="00FC60BB">
        <w:rPr>
          <w:rFonts w:ascii="Times New Roman" w:eastAsia="標楷體" w:hAnsi="Times New Roman" w:cs="Times New Roman"/>
        </w:rPr>
        <w:t>facility</w:t>
      </w:r>
      <w:r w:rsidRPr="00885A57">
        <w:rPr>
          <w:rFonts w:ascii="Times New Roman" w:eastAsia="標楷體" w:hAnsi="Times New Roman" w:cs="Times New Roman"/>
        </w:rPr>
        <w:t xml:space="preserve"> </w:t>
      </w:r>
      <w:r w:rsidR="00EB4D22">
        <w:rPr>
          <w:rFonts w:ascii="Times New Roman" w:eastAsia="標楷體" w:hAnsi="Times New Roman" w:cs="Times New Roman"/>
        </w:rPr>
        <w:t xml:space="preserve">for </w:t>
      </w:r>
      <w:r w:rsidRPr="00885A57">
        <w:rPr>
          <w:rFonts w:ascii="Times New Roman" w:eastAsia="標楷體" w:hAnsi="Times New Roman" w:cs="Times New Roman"/>
        </w:rPr>
        <w:t xml:space="preserve">people with disabilities </w:t>
      </w:r>
      <w:r w:rsidRPr="00885A57">
        <w:rPr>
          <w:rFonts w:ascii="Times New Roman" w:eastAsia="標楷體" w:hAnsi="Times New Roman" w:cs="Times New Roman"/>
        </w:rPr>
        <w:lastRenderedPageBreak/>
        <w:t>was founded, representing growth rate of 0.6</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whereas the number of service recipients slightly decreased from 13,411 to 13,311 </w:t>
      </w:r>
      <w:r w:rsidR="0056022E">
        <w:rPr>
          <w:rFonts w:ascii="Times New Roman" w:eastAsia="標楷體" w:hAnsi="Times New Roman" w:cs="Times New Roman"/>
        </w:rPr>
        <w:t xml:space="preserve">or </w:t>
      </w:r>
      <w:r w:rsidRPr="00885A57">
        <w:rPr>
          <w:rFonts w:ascii="Times New Roman" w:eastAsia="標楷體" w:hAnsi="Times New Roman" w:cs="Times New Roman"/>
        </w:rPr>
        <w:t>0.75</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(Table 19.6). To achieve community integration and organizational downsizing, the MOHW lowered the limit on subsidized beds, stipulating that the maximum number of subsidized beds be reduced from 150 to 99 for newly established </w:t>
      </w:r>
      <w:r w:rsidR="00FC60BB">
        <w:rPr>
          <w:rFonts w:ascii="Times New Roman" w:eastAsia="標楷體" w:hAnsi="Times New Roman" w:cs="Times New Roman"/>
        </w:rPr>
        <w:t>facilities</w:t>
      </w:r>
      <w:r w:rsidRPr="00885A57">
        <w:rPr>
          <w:rFonts w:ascii="Times New Roman" w:eastAsia="標楷體" w:hAnsi="Times New Roman" w:cs="Times New Roman"/>
        </w:rPr>
        <w:t xml:space="preserve">. In 2019, the MOHW prepared the </w:t>
      </w:r>
      <w:r w:rsidR="00C47DFA">
        <w:rPr>
          <w:rFonts w:ascii="Times New Roman" w:eastAsia="標楷體" w:hAnsi="Times New Roman" w:cs="Times New Roman"/>
        </w:rPr>
        <w:t xml:space="preserve">Plan for </w:t>
      </w:r>
      <w:r w:rsidRPr="00885A57">
        <w:rPr>
          <w:rFonts w:ascii="Times New Roman" w:eastAsia="標楷體" w:hAnsi="Times New Roman" w:cs="Times New Roman"/>
        </w:rPr>
        <w:t xml:space="preserve">Disabled Welfare Institutions </w:t>
      </w:r>
      <w:r w:rsidR="00C47DFA">
        <w:rPr>
          <w:rFonts w:ascii="Times New Roman" w:eastAsia="標楷體" w:hAnsi="Times New Roman" w:cs="Times New Roman"/>
        </w:rPr>
        <w:t xml:space="preserve">to Meet </w:t>
      </w:r>
      <w:r w:rsidRPr="00885A57">
        <w:rPr>
          <w:rFonts w:ascii="Times New Roman" w:eastAsia="標楷體" w:hAnsi="Times New Roman" w:cs="Times New Roman"/>
        </w:rPr>
        <w:t xml:space="preserve">Article 19 of the CRPD. In 2020, the ministry developed the Project to Accommodate Disabled Welfare Institutions for Community Integration </w:t>
      </w:r>
      <w:r w:rsidR="00C47DFA">
        <w:rPr>
          <w:rFonts w:ascii="Times New Roman" w:eastAsia="標楷體" w:hAnsi="Times New Roman" w:cs="Times New Roman"/>
        </w:rPr>
        <w:t xml:space="preserve">to adjust </w:t>
      </w:r>
      <w:r w:rsidRPr="00885A57">
        <w:rPr>
          <w:rFonts w:ascii="Times New Roman" w:eastAsia="標楷體" w:hAnsi="Times New Roman" w:cs="Times New Roman"/>
        </w:rPr>
        <w:t>institution service models and establish a system enabling people with disabilities to return from residential institutions to community living.</w:t>
      </w:r>
      <w:bookmarkEnd w:id="119"/>
      <w:r w:rsidRPr="00885A57">
        <w:rPr>
          <w:rFonts w:ascii="Times New Roman" w:eastAsia="標楷體" w:hAnsi="Times New Roman" w:cs="Times New Roman"/>
          <w:vertAlign w:val="superscript"/>
        </w:rPr>
        <w:footnoteReference w:id="75"/>
      </w:r>
    </w:p>
    <w:p w14:paraId="2874A815" w14:textId="08457BA3" w:rsidR="00BB360E" w:rsidRPr="00885A57" w:rsidRDefault="00DD3E83" w:rsidP="00C50226">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Nursing homes mostly house bedridden individuals with medium to severe </w:t>
      </w:r>
      <w:r w:rsidR="00CD44F0">
        <w:rPr>
          <w:rFonts w:ascii="Times New Roman" w:eastAsia="標楷體" w:hAnsi="Times New Roman" w:cs="Times New Roman"/>
          <w:szCs w:val="24"/>
        </w:rPr>
        <w:t xml:space="preserve">levels of </w:t>
      </w:r>
      <w:r w:rsidRPr="00885A57">
        <w:rPr>
          <w:rFonts w:ascii="Times New Roman" w:eastAsia="標楷體" w:hAnsi="Times New Roman" w:cs="Times New Roman"/>
          <w:szCs w:val="24"/>
        </w:rPr>
        <w:t xml:space="preserve">incapacity and high-intensity care needs. For residents with dementia and some mobility, competent authorities </w:t>
      </w:r>
      <w:r w:rsidR="00CD44F0">
        <w:rPr>
          <w:rFonts w:ascii="Times New Roman" w:eastAsia="標楷體" w:hAnsi="Times New Roman" w:cs="Times New Roman"/>
          <w:szCs w:val="24"/>
        </w:rPr>
        <w:t xml:space="preserve">require </w:t>
      </w:r>
      <w:r w:rsidRPr="00885A57">
        <w:rPr>
          <w:rFonts w:ascii="Times New Roman" w:eastAsia="標楷體" w:hAnsi="Times New Roman" w:cs="Times New Roman"/>
          <w:szCs w:val="24"/>
        </w:rPr>
        <w:t xml:space="preserve">the establishment of a dementia </w:t>
      </w:r>
      <w:r w:rsidR="00CD44F0">
        <w:rPr>
          <w:rFonts w:ascii="Times New Roman" w:eastAsia="標楷體" w:hAnsi="Times New Roman" w:cs="Times New Roman"/>
          <w:szCs w:val="24"/>
        </w:rPr>
        <w:t xml:space="preserve">area for </w:t>
      </w:r>
      <w:r w:rsidR="00C47DFA">
        <w:rPr>
          <w:rFonts w:ascii="Times New Roman" w:eastAsia="標楷體" w:hAnsi="Times New Roman" w:cs="Times New Roman"/>
          <w:szCs w:val="24"/>
        </w:rPr>
        <w:t>the care of such people</w:t>
      </w:r>
      <w:r w:rsidRPr="00885A57">
        <w:rPr>
          <w:rFonts w:ascii="Times New Roman" w:eastAsia="標楷體" w:hAnsi="Times New Roman" w:cs="Times New Roman"/>
          <w:szCs w:val="24"/>
        </w:rPr>
        <w:t xml:space="preserve">, the adoption of the unit care concept, and the design of a homelike space. The government plans to incorporate indicators </w:t>
      </w:r>
      <w:r w:rsidR="00416326">
        <w:rPr>
          <w:rFonts w:ascii="Times New Roman" w:eastAsia="標楷體" w:hAnsi="Times New Roman" w:cs="Times New Roman"/>
          <w:szCs w:val="24"/>
        </w:rPr>
        <w:t xml:space="preserve">on </w:t>
      </w:r>
      <w:r w:rsidRPr="00885A57">
        <w:rPr>
          <w:rFonts w:ascii="Times New Roman" w:eastAsia="標楷體" w:hAnsi="Times New Roman" w:cs="Times New Roman"/>
          <w:szCs w:val="24"/>
        </w:rPr>
        <w:t xml:space="preserve">community integration and engagement operations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dementia into nursing home assessment</w:t>
      </w:r>
      <w:r w:rsidR="00416326">
        <w:rPr>
          <w:rFonts w:ascii="Times New Roman" w:eastAsia="標楷體" w:hAnsi="Times New Roman" w:cs="Times New Roman"/>
          <w:szCs w:val="24"/>
        </w:rPr>
        <w:t>s</w:t>
      </w:r>
      <w:r w:rsidRPr="00885A57">
        <w:rPr>
          <w:rFonts w:ascii="Times New Roman" w:eastAsia="標楷體" w:hAnsi="Times New Roman" w:cs="Times New Roman"/>
          <w:szCs w:val="24"/>
        </w:rPr>
        <w:t xml:space="preserve"> and </w:t>
      </w:r>
      <w:r w:rsidR="00416326">
        <w:rPr>
          <w:rFonts w:ascii="Times New Roman" w:eastAsia="標楷體" w:hAnsi="Times New Roman" w:cs="Times New Roman"/>
          <w:szCs w:val="24"/>
        </w:rPr>
        <w:t xml:space="preserve">to </w:t>
      </w:r>
      <w:r w:rsidRPr="00885A57">
        <w:rPr>
          <w:rFonts w:ascii="Times New Roman" w:eastAsia="標楷體" w:hAnsi="Times New Roman" w:cs="Times New Roman"/>
          <w:szCs w:val="24"/>
        </w:rPr>
        <w:t>ensure compliance by nursing homes.</w:t>
      </w:r>
    </w:p>
    <w:p w14:paraId="0B1ABBC3" w14:textId="0A11075B" w:rsidR="00344E6A" w:rsidRPr="00885A57" w:rsidRDefault="00DD3E83" w:rsidP="00C50226">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To help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vision loss regain their independent living capacity during the critical rehabilitation phase and</w:t>
      </w:r>
      <w:r w:rsidR="00C47DFA">
        <w:rPr>
          <w:rFonts w:ascii="Times New Roman" w:eastAsia="標楷體" w:hAnsi="Times New Roman" w:cs="Times New Roman"/>
          <w:szCs w:val="24"/>
        </w:rPr>
        <w:t xml:space="preserve"> to</w:t>
      </w:r>
      <w:r w:rsidRPr="00885A57">
        <w:rPr>
          <w:rFonts w:ascii="Times New Roman" w:eastAsia="標楷體" w:hAnsi="Times New Roman" w:cs="Times New Roman"/>
          <w:szCs w:val="24"/>
        </w:rPr>
        <w:t xml:space="preserve"> increase their social participation, the central government has supervised local governments in providing daily living </w:t>
      </w:r>
      <w:r w:rsidRPr="00885A57">
        <w:rPr>
          <w:rFonts w:ascii="Times New Roman" w:eastAsia="標楷體" w:hAnsi="Times New Roman" w:cs="Times New Roman"/>
          <w:szCs w:val="24"/>
        </w:rPr>
        <w:lastRenderedPageBreak/>
        <w:t xml:space="preserve">reconstruction services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visual impairment since 2012. According to the needs of the person in question, professionals provide daily living reconstruction services including orientation and mobility training, life skills training, </w:t>
      </w:r>
      <w:r w:rsidR="00416326">
        <w:rPr>
          <w:rFonts w:ascii="Times New Roman" w:eastAsia="標楷體" w:hAnsi="Times New Roman" w:cs="Times New Roman"/>
          <w:szCs w:val="24"/>
        </w:rPr>
        <w:t>B</w:t>
      </w:r>
      <w:r w:rsidR="00416326" w:rsidRPr="00885A57">
        <w:rPr>
          <w:rFonts w:ascii="Times New Roman" w:eastAsia="標楷體" w:hAnsi="Times New Roman" w:cs="Times New Roman"/>
          <w:szCs w:val="24"/>
        </w:rPr>
        <w:t xml:space="preserve">raille </w:t>
      </w:r>
      <w:r w:rsidRPr="00885A57">
        <w:rPr>
          <w:rFonts w:ascii="Times New Roman" w:eastAsia="標楷體" w:hAnsi="Times New Roman" w:cs="Times New Roman"/>
          <w:szCs w:val="24"/>
        </w:rPr>
        <w:t xml:space="preserve">computer operating instructions, assistive </w:t>
      </w:r>
      <w:r w:rsidR="00D97258">
        <w:rPr>
          <w:rFonts w:ascii="Times New Roman" w:eastAsia="標楷體" w:hAnsi="Times New Roman" w:cs="Times New Roman"/>
          <w:szCs w:val="24"/>
        </w:rPr>
        <w:t>technology</w:t>
      </w:r>
      <w:r w:rsidRPr="00885A57">
        <w:rPr>
          <w:rFonts w:ascii="Times New Roman" w:eastAsia="標楷體" w:hAnsi="Times New Roman" w:cs="Times New Roman"/>
          <w:szCs w:val="24"/>
        </w:rPr>
        <w:t xml:space="preserve"> evaluations and operating instructions, functional vision and optometric assessments, and social activity and interpersonal skills training.</w:t>
      </w:r>
    </w:p>
    <w:p w14:paraId="2AC3AB79" w14:textId="74E18397" w:rsidR="0080699D" w:rsidRPr="00885A57" w:rsidRDefault="00DD3E83" w:rsidP="00C50226">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To protect the rights of individuals subject to severe emotional difficulties who live in welfare institutions</w:t>
      </w:r>
      <w:r w:rsidR="00475E52">
        <w:rPr>
          <w:rFonts w:ascii="Times New Roman" w:eastAsia="標楷體" w:hAnsi="Times New Roman" w:cs="Times New Roman"/>
          <w:szCs w:val="24"/>
        </w:rPr>
        <w:t xml:space="preserve"> for </w:t>
      </w:r>
      <w:r w:rsidR="000F5439">
        <w:rPr>
          <w:rFonts w:ascii="Times New Roman" w:eastAsia="標楷體" w:hAnsi="Times New Roman" w:cs="Times New Roman"/>
          <w:szCs w:val="24"/>
          <w:lang w:val="en-GB"/>
        </w:rPr>
        <w:t xml:space="preserve">people with </w:t>
      </w:r>
      <w:r w:rsidR="00945A5C">
        <w:rPr>
          <w:rFonts w:ascii="Times New Roman" w:eastAsia="標楷體" w:hAnsi="Times New Roman" w:cs="Times New Roman"/>
          <w:szCs w:val="24"/>
          <w:lang w:val="en-GB"/>
        </w:rPr>
        <w:t>disabilities</w:t>
      </w:r>
      <w:r w:rsidRPr="00885A57">
        <w:rPr>
          <w:rFonts w:ascii="Times New Roman" w:eastAsia="標楷體" w:hAnsi="Times New Roman" w:cs="Times New Roman"/>
          <w:szCs w:val="24"/>
        </w:rPr>
        <w:t xml:space="preserve">, the MOHW provided subsidies to local governments to establish pilot support centers for patients with severe emotional disorders in 2020; at such centers, displacement behaviors are established through behavioral counseling to help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and severe emotional difficulties return to family or community life.</w:t>
      </w:r>
    </w:p>
    <w:p w14:paraId="2772F0A0" w14:textId="078C29A8" w:rsidR="0080699D" w:rsidRPr="00885A57" w:rsidRDefault="00DD3E83" w:rsidP="00C50226">
      <w:pPr>
        <w:pStyle w:val="a7"/>
        <w:numPr>
          <w:ilvl w:val="0"/>
          <w:numId w:val="45"/>
        </w:numPr>
        <w:spacing w:after="120" w:line="360" w:lineRule="auto"/>
        <w:ind w:leftChars="0" w:left="567" w:hanging="567"/>
        <w:jc w:val="both"/>
        <w:rPr>
          <w:rFonts w:ascii="Times New Roman" w:eastAsia="標楷體" w:hAnsi="Times New Roman" w:cs="Times New Roman"/>
        </w:rPr>
      </w:pPr>
      <w:bookmarkStart w:id="120" w:name="_Ref55910754"/>
      <w:r w:rsidRPr="00885A57">
        <w:rPr>
          <w:rFonts w:ascii="Times New Roman" w:eastAsia="標楷體" w:hAnsi="Times New Roman" w:cs="Times New Roman"/>
          <w:szCs w:val="24"/>
        </w:rPr>
        <w:t xml:space="preserve">Regarding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who live in the community and experience severe emotional problems, the central government subsidized eight counties/cities to host the Pilot Project on Positive Behavioral Support Model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Subject to Severe Emotional Problems between 2019 and 2020. Cross-disciplinary teams are recruited to provide personalized behavioral counseling and family support, help family caregivers and professional community-based service providers to develop </w:t>
      </w:r>
      <w:r w:rsidR="00485022">
        <w:rPr>
          <w:rFonts w:ascii="Times New Roman" w:eastAsia="標楷體" w:hAnsi="Times New Roman" w:cs="Times New Roman"/>
          <w:szCs w:val="24"/>
        </w:rPr>
        <w:t xml:space="preserve">their ability to provide </w:t>
      </w:r>
      <w:r w:rsidRPr="00885A57">
        <w:rPr>
          <w:rFonts w:ascii="Times New Roman" w:eastAsia="標楷體" w:hAnsi="Times New Roman" w:cs="Times New Roman"/>
          <w:szCs w:val="24"/>
        </w:rPr>
        <w:t xml:space="preserve">positive behavioral support, and prevent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from being forced to live in residential institutions because of insufficient support.</w:t>
      </w:r>
      <w:bookmarkEnd w:id="120"/>
      <w:r w:rsidRPr="00885A57">
        <w:rPr>
          <w:rStyle w:val="ab"/>
          <w:rFonts w:ascii="Times New Roman" w:eastAsia="標楷體" w:hAnsi="Times New Roman" w:cs="Times New Roman"/>
        </w:rPr>
        <w:footnoteReference w:id="76"/>
      </w:r>
    </w:p>
    <w:p w14:paraId="528C9553" w14:textId="22569967" w:rsidR="00FA0AD2" w:rsidRPr="00885A57" w:rsidRDefault="00DD3E83" w:rsidP="00C50226">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lastRenderedPageBreak/>
        <w:t xml:space="preserve">A care difficulty allowance has been added to the </w:t>
      </w:r>
      <w:r w:rsidRPr="002153DE">
        <w:rPr>
          <w:rFonts w:ascii="Times New Roman" w:eastAsia="標楷體" w:hAnsi="Times New Roman" w:cs="Times New Roman"/>
          <w:iCs/>
          <w:szCs w:val="24"/>
        </w:rPr>
        <w:t>Long-term Care Payments and Benefits Standards</w:t>
      </w:r>
      <w:r w:rsidRPr="00885A57">
        <w:rPr>
          <w:rFonts w:ascii="Times New Roman" w:eastAsia="標楷體" w:hAnsi="Times New Roman" w:cs="Times New Roman"/>
          <w:szCs w:val="24"/>
        </w:rPr>
        <w:t xml:space="preserve">, with the aim of encouraging long-term care departments to invest in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special service needs and expand service coverage for incapacitated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w:t>
      </w:r>
    </w:p>
    <w:p w14:paraId="7BEA894D" w14:textId="00C168C5" w:rsidR="0084650F" w:rsidRPr="00885A57" w:rsidRDefault="00DD3E83"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To offer sufficient support for families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the government provides temporary</w:t>
      </w:r>
      <w:r w:rsidRPr="00885A57">
        <w:rPr>
          <w:rFonts w:ascii="Times New Roman" w:hAnsi="Times New Roman" w:cs="Times New Roman"/>
          <w:szCs w:val="24"/>
        </w:rPr>
        <w:t>/respite and short-term care</w:t>
      </w:r>
      <w:r w:rsidR="007E4DDB">
        <w:rPr>
          <w:rFonts w:ascii="Times New Roman" w:hAnsi="Times New Roman" w:cs="Times New Roman"/>
          <w:szCs w:val="24"/>
        </w:rPr>
        <w:t xml:space="preserve"> services</w:t>
      </w:r>
      <w:r w:rsidRPr="00885A57">
        <w:rPr>
          <w:rFonts w:ascii="Times New Roman" w:eastAsia="標楷體" w:hAnsi="Times New Roman" w:cs="Times New Roman"/>
          <w:szCs w:val="24"/>
        </w:rPr>
        <w:t xml:space="preserve">, support to caregivers, training and </w:t>
      </w:r>
      <w:r w:rsidR="00485022">
        <w:rPr>
          <w:rFonts w:ascii="Times New Roman" w:eastAsia="標楷體" w:hAnsi="Times New Roman" w:cs="Times New Roman"/>
          <w:szCs w:val="24"/>
        </w:rPr>
        <w:t xml:space="preserve">practice </w:t>
      </w:r>
      <w:r w:rsidRPr="00885A57">
        <w:rPr>
          <w:rFonts w:ascii="Times New Roman" w:eastAsia="標楷體" w:hAnsi="Times New Roman" w:cs="Times New Roman"/>
          <w:szCs w:val="24"/>
        </w:rPr>
        <w:t xml:space="preserve">for caregivers, </w:t>
      </w:r>
      <w:r w:rsidRPr="00885A57">
        <w:rPr>
          <w:rFonts w:ascii="Times New Roman" w:hAnsi="Times New Roman" w:cs="Times New Roman"/>
          <w:szCs w:val="24"/>
          <w:shd w:val="clear" w:color="auto" w:fill="F9FBFB"/>
        </w:rPr>
        <w:t>f</w:t>
      </w:r>
      <w:r w:rsidRPr="00885A57">
        <w:rPr>
          <w:rFonts w:ascii="Times New Roman" w:eastAsia="標楷體" w:hAnsi="Times New Roman" w:cs="Times New Roman"/>
          <w:szCs w:val="24"/>
        </w:rPr>
        <w:t>amily care visit</w:t>
      </w:r>
      <w:r w:rsidR="007E4DDB">
        <w:rPr>
          <w:rFonts w:ascii="Times New Roman" w:eastAsia="標楷體" w:hAnsi="Times New Roman" w:cs="Times New Roman"/>
          <w:szCs w:val="24"/>
        </w:rPr>
        <w:t xml:space="preserve"> services</w:t>
      </w:r>
      <w:r w:rsidRPr="00885A57">
        <w:rPr>
          <w:rFonts w:ascii="Times New Roman" w:eastAsia="標楷體" w:hAnsi="Times New Roman" w:cs="Times New Roman"/>
          <w:szCs w:val="24"/>
        </w:rPr>
        <w:t xml:space="preserve">, and other family support services (Table 19.7). Since 2019, the central government has subsidized local </w:t>
      </w:r>
      <w:r w:rsidR="00485022">
        <w:rPr>
          <w:rFonts w:ascii="Times New Roman" w:eastAsia="標楷體" w:hAnsi="Times New Roman" w:cs="Times New Roman"/>
          <w:szCs w:val="24"/>
        </w:rPr>
        <w:t xml:space="preserve">governments </w:t>
      </w:r>
      <w:r w:rsidRPr="00885A57">
        <w:rPr>
          <w:rFonts w:ascii="Times New Roman" w:eastAsia="標楷體" w:hAnsi="Times New Roman" w:cs="Times New Roman"/>
          <w:szCs w:val="24"/>
        </w:rPr>
        <w:t xml:space="preserve">to establish service centers to support </w:t>
      </w:r>
      <w:r w:rsidR="00485022">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family caregivers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thereby relieving caregivers</w:t>
      </w:r>
      <w:r w:rsidR="00485022">
        <w:rPr>
          <w:rFonts w:ascii="Times New Roman" w:eastAsia="標楷體" w:hAnsi="Times New Roman" w:cs="Times New Roman"/>
          <w:szCs w:val="24"/>
        </w:rPr>
        <w:t>’ stress</w:t>
      </w:r>
      <w:r w:rsidRPr="00885A57">
        <w:rPr>
          <w:rFonts w:ascii="Times New Roman" w:eastAsia="標楷體" w:hAnsi="Times New Roman" w:cs="Times New Roman"/>
          <w:szCs w:val="24"/>
        </w:rPr>
        <w:t>; local governments have established 25 such centers in total (Table 19.8).</w:t>
      </w:r>
    </w:p>
    <w:p w14:paraId="6FA249C7" w14:textId="1545C0E8" w:rsidR="00482886" w:rsidRPr="00885A57" w:rsidRDefault="00DD3E83" w:rsidP="001A2139">
      <w:pPr>
        <w:pStyle w:val="a7"/>
        <w:numPr>
          <w:ilvl w:val="0"/>
          <w:numId w:val="16"/>
        </w:numPr>
        <w:spacing w:after="120" w:line="360" w:lineRule="auto"/>
        <w:ind w:leftChars="0"/>
        <w:jc w:val="both"/>
        <w:rPr>
          <w:rFonts w:ascii="Times New Roman" w:eastAsia="標楷體" w:hAnsi="Times New Roman" w:cs="Times New Roman"/>
          <w:szCs w:val="24"/>
        </w:rPr>
      </w:pPr>
      <w:r w:rsidRPr="00885A57">
        <w:rPr>
          <w:rFonts w:ascii="Times New Roman" w:eastAsia="標楷體" w:hAnsi="Times New Roman" w:cs="Times New Roman"/>
          <w:szCs w:val="24"/>
        </w:rPr>
        <w:t>Expansion of rural area services</w:t>
      </w:r>
    </w:p>
    <w:p w14:paraId="40810806" w14:textId="51FC0EFA" w:rsidR="00D87756" w:rsidRPr="00885A57" w:rsidRDefault="00DD3E83"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21" w:name="_Ref55910969"/>
      <w:r w:rsidRPr="00885A57">
        <w:rPr>
          <w:rFonts w:ascii="Times New Roman" w:eastAsia="標楷體" w:hAnsi="Times New Roman" w:cs="Times New Roman"/>
          <w:szCs w:val="24"/>
        </w:rPr>
        <w:t xml:space="preserve">Aiming to encourage private organizations to provide services in remote areas, the government increased the allowance for service providers and the rate of facility subsidization in 2019. As of 2019, a total of 68 community-based service centers had been established in indigenous areas, </w:t>
      </w:r>
      <w:r w:rsidR="00215840" w:rsidRPr="00885A57">
        <w:rPr>
          <w:rFonts w:ascii="Times New Roman" w:eastAsia="標楷體" w:hAnsi="Times New Roman" w:cs="Times New Roman"/>
          <w:szCs w:val="24"/>
        </w:rPr>
        <w:t>offshore</w:t>
      </w:r>
      <w:r w:rsidRPr="00885A57">
        <w:rPr>
          <w:rFonts w:ascii="Times New Roman" w:eastAsia="標楷體" w:hAnsi="Times New Roman" w:cs="Times New Roman"/>
          <w:szCs w:val="24"/>
        </w:rPr>
        <w:t xml:space="preserve"> islands, and remote areas.</w:t>
      </w:r>
      <w:bookmarkEnd w:id="121"/>
      <w:r w:rsidRPr="00885A57">
        <w:rPr>
          <w:rStyle w:val="ab"/>
          <w:rFonts w:ascii="Times New Roman" w:eastAsia="標楷體" w:hAnsi="Times New Roman" w:cs="Times New Roman"/>
        </w:rPr>
        <w:footnoteReference w:id="77"/>
      </w:r>
    </w:p>
    <w:p w14:paraId="408CA855" w14:textId="39947C9D" w:rsidR="000F6AB5" w:rsidRPr="00885A57" w:rsidRDefault="00DD3E83"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hAnsi="Times New Roman" w:cs="Times New Roman"/>
          <w:szCs w:val="24"/>
        </w:rPr>
        <w:t xml:space="preserve">To increase access to health care in remote areas, the government has launched at-home health care programs such as the Integrated Home Health Care Project, Dental Home Care Program, General Home Care Plan, and Community-Based Rehabilitation (Home Care) Project for Patients with Psychiatric Disorders. </w:t>
      </w:r>
      <w:r w:rsidRPr="00885A57">
        <w:rPr>
          <w:rFonts w:ascii="Times New Roman" w:hAnsi="Times New Roman" w:cs="Times New Roman"/>
          <w:szCs w:val="24"/>
        </w:rPr>
        <w:lastRenderedPageBreak/>
        <w:t xml:space="preserve">Therefore, patients </w:t>
      </w:r>
      <w:r w:rsidR="00EA0502" w:rsidRPr="00885A57">
        <w:rPr>
          <w:rFonts w:ascii="Times New Roman" w:hAnsi="Times New Roman" w:cs="Times New Roman"/>
          <w:szCs w:val="24"/>
        </w:rPr>
        <w:t xml:space="preserve">with physical impairment </w:t>
      </w:r>
      <w:r w:rsidRPr="00885A57">
        <w:rPr>
          <w:rFonts w:ascii="Times New Roman" w:hAnsi="Times New Roman" w:cs="Times New Roman"/>
          <w:szCs w:val="24"/>
        </w:rPr>
        <w:t>can return to community life with ease; please refer to Article 25</w:t>
      </w:r>
      <w:r w:rsidR="006F1055">
        <w:rPr>
          <w:rFonts w:ascii="Times New Roman" w:hAnsi="Times New Roman" w:cs="Times New Roman"/>
          <w:szCs w:val="24"/>
        </w:rPr>
        <w:t xml:space="preserve">: </w:t>
      </w:r>
      <w:r w:rsidRPr="00885A57">
        <w:rPr>
          <w:rFonts w:ascii="Times New Roman" w:hAnsi="Times New Roman" w:cs="Times New Roman"/>
          <w:szCs w:val="24"/>
        </w:rPr>
        <w:t xml:space="preserve">Health (Point </w:t>
      </w:r>
      <w:r w:rsidRPr="00885A57">
        <w:rPr>
          <w:rFonts w:ascii="Times New Roman" w:eastAsia="標楷體" w:hAnsi="Times New Roman" w:cs="Times New Roman"/>
        </w:rPr>
        <w:fldChar w:fldCharType="begin"/>
      </w:r>
      <w:r w:rsidRPr="00885A57">
        <w:rPr>
          <w:rFonts w:ascii="Times New Roman" w:eastAsia="標楷體" w:hAnsi="Times New Roman" w:cs="Times New Roman"/>
        </w:rPr>
        <w:instrText xml:space="preserve"> REF _Ref38033170 \r \h  \* MERGEFORMAT </w:instrText>
      </w:r>
      <w:r w:rsidRPr="00885A57">
        <w:rPr>
          <w:rFonts w:ascii="Times New Roman" w:eastAsia="標楷體" w:hAnsi="Times New Roman" w:cs="Times New Roman"/>
        </w:rPr>
      </w:r>
      <w:r w:rsidRPr="00885A57">
        <w:rPr>
          <w:rFonts w:ascii="Times New Roman" w:eastAsia="標楷體" w:hAnsi="Times New Roman" w:cs="Times New Roman"/>
        </w:rPr>
        <w:fldChar w:fldCharType="separate"/>
      </w:r>
      <w:r w:rsidR="00F00A73">
        <w:rPr>
          <w:rFonts w:ascii="Times New Roman" w:eastAsia="標楷體" w:hAnsi="Times New Roman" w:cs="Times New Roman"/>
        </w:rPr>
        <w:t>223</w:t>
      </w:r>
      <w:r w:rsidRPr="00885A57">
        <w:rPr>
          <w:rFonts w:ascii="Times New Roman" w:eastAsia="標楷體" w:hAnsi="Times New Roman" w:cs="Times New Roman"/>
        </w:rPr>
        <w:fldChar w:fldCharType="end"/>
      </w:r>
      <w:r w:rsidR="006F1055">
        <w:rPr>
          <w:rFonts w:ascii="Times New Roman" w:eastAsia="標楷體" w:hAnsi="Times New Roman" w:cs="Times New Roman"/>
        </w:rPr>
        <w:t>)</w:t>
      </w:r>
      <w:r w:rsidRPr="00885A57">
        <w:rPr>
          <w:rFonts w:ascii="Times New Roman" w:hAnsi="Times New Roman" w:cs="Times New Roman"/>
          <w:szCs w:val="24"/>
        </w:rPr>
        <w:t xml:space="preserve"> for more detail.</w:t>
      </w:r>
    </w:p>
    <w:p w14:paraId="0B41EFB3" w14:textId="700FFD21" w:rsidR="005C59F5" w:rsidRPr="00885A57" w:rsidRDefault="00E571AF" w:rsidP="00C50226">
      <w:pPr>
        <w:pStyle w:val="10"/>
        <w:spacing w:after="120" w:line="360" w:lineRule="auto"/>
        <w:rPr>
          <w:rFonts w:ascii="Times New Roman" w:hAnsi="Times New Roman"/>
        </w:rPr>
      </w:pPr>
      <w:bookmarkStart w:id="122" w:name="_Toc73108689"/>
      <w:r w:rsidRPr="00885A57">
        <w:rPr>
          <w:rFonts w:ascii="Times New Roman" w:hAnsi="Times New Roman"/>
        </w:rPr>
        <w:t>Article 20</w:t>
      </w:r>
      <w:bookmarkStart w:id="123" w:name="_Toc55900596"/>
      <w:r w:rsidR="00B645D5" w:rsidRPr="00885A57">
        <w:rPr>
          <w:rFonts w:ascii="Times New Roman" w:hAnsi="Times New Roman"/>
        </w:rPr>
        <w:t xml:space="preserve">: </w:t>
      </w:r>
      <w:r w:rsidRPr="00885A57">
        <w:rPr>
          <w:rFonts w:ascii="Times New Roman" w:hAnsi="Times New Roman"/>
        </w:rPr>
        <w:t>Personal mobility</w:t>
      </w:r>
      <w:bookmarkEnd w:id="122"/>
      <w:bookmarkEnd w:id="123"/>
    </w:p>
    <w:p w14:paraId="7B95535B" w14:textId="560DF8CB" w:rsidR="0021474C" w:rsidRPr="00885A57" w:rsidRDefault="00DD3E83" w:rsidP="001A2139">
      <w:pPr>
        <w:spacing w:after="120" w:line="360" w:lineRule="auto"/>
        <w:rPr>
          <w:rFonts w:ascii="Times New Roman" w:eastAsia="標楷體" w:hAnsi="Times New Roman" w:cs="Times New Roman"/>
          <w:szCs w:val="28"/>
        </w:rPr>
      </w:pPr>
      <w:r w:rsidRPr="00885A57">
        <w:rPr>
          <w:rFonts w:ascii="Times New Roman" w:eastAsia="標楷體" w:hAnsi="Times New Roman" w:cs="Times New Roman"/>
          <w:szCs w:val="24"/>
        </w:rPr>
        <w:t>A.  Assistive technologies subsidy and service</w:t>
      </w:r>
    </w:p>
    <w:p w14:paraId="1ADD2521" w14:textId="2BE8D5D5" w:rsidR="00FA0AD2" w:rsidRPr="00885A57" w:rsidRDefault="00832EC2" w:rsidP="00C50226">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assistive technology needs of people with disabilities relate to aspects of daily life, medical care, employment, and education; according to their responsibilities, </w:t>
      </w:r>
      <w:r w:rsidR="00B101ED">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central competent authorities </w:t>
      </w:r>
      <w:r w:rsidR="00B101ED">
        <w:rPr>
          <w:rFonts w:ascii="Times New Roman" w:eastAsia="標楷體" w:hAnsi="Times New Roman" w:cs="Times New Roman"/>
          <w:szCs w:val="24"/>
        </w:rPr>
        <w:t xml:space="preserve">for </w:t>
      </w:r>
      <w:r w:rsidRPr="00885A57">
        <w:rPr>
          <w:rFonts w:ascii="Times New Roman" w:eastAsia="標楷體" w:hAnsi="Times New Roman" w:cs="Times New Roman"/>
          <w:szCs w:val="24"/>
        </w:rPr>
        <w:t xml:space="preserve">health and welfare, labor affairs, and education </w:t>
      </w:r>
      <w:r w:rsidR="00911190">
        <w:rPr>
          <w:rFonts w:ascii="Times New Roman" w:eastAsia="標楷體" w:hAnsi="Times New Roman" w:cs="Times New Roman"/>
          <w:szCs w:val="24"/>
        </w:rPr>
        <w:t xml:space="preserve">allocate funding for </w:t>
      </w:r>
      <w:r w:rsidRPr="00885A57">
        <w:rPr>
          <w:rFonts w:ascii="Times New Roman" w:eastAsia="標楷體" w:hAnsi="Times New Roman" w:cs="Times New Roman"/>
          <w:szCs w:val="24"/>
        </w:rPr>
        <w:t>assistive technology subsidies and services.</w:t>
      </w:r>
    </w:p>
    <w:p w14:paraId="05604BC3" w14:textId="0065FD70" w:rsidR="005B7B42" w:rsidRPr="00885A57" w:rsidRDefault="00832EC2" w:rsidP="00C50226">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MOHW has instructed local governments to, as per needs assessment results, provide subsidies for disability assistive technologies (Tables 20.1 and 20.2); </w:t>
      </w:r>
      <w:r w:rsidR="008D1C3D">
        <w:rPr>
          <w:rFonts w:ascii="Times New Roman" w:eastAsia="標楷體" w:hAnsi="Times New Roman" w:cs="Times New Roman"/>
          <w:szCs w:val="24"/>
        </w:rPr>
        <w:t xml:space="preserve">those with </w:t>
      </w:r>
      <w:r w:rsidRPr="00885A57">
        <w:rPr>
          <w:rFonts w:ascii="Times New Roman" w:eastAsia="標楷體" w:hAnsi="Times New Roman" w:cs="Times New Roman"/>
          <w:szCs w:val="24"/>
        </w:rPr>
        <w:t>disabilities and independent mobility who have purchased assistive technologies upon the approval of a needs assessment are entitled to a subsidy.</w:t>
      </w:r>
    </w:p>
    <w:p w14:paraId="7581092D" w14:textId="073EB407" w:rsidR="005B7B42" w:rsidRPr="00885A57" w:rsidRDefault="00832EC2" w:rsidP="00C50226">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24" w:name="_Ref33522783"/>
      <w:r w:rsidRPr="00885A57">
        <w:rPr>
          <w:rFonts w:ascii="Times New Roman" w:eastAsia="標楷體" w:hAnsi="Times New Roman" w:cs="Times New Roman"/>
          <w:szCs w:val="24"/>
        </w:rPr>
        <w:t xml:space="preserve">Having provided for assistive technology services and the improvement of home accessibility in the </w:t>
      </w:r>
      <w:r w:rsidRPr="002153DE">
        <w:rPr>
          <w:rFonts w:ascii="Times New Roman" w:eastAsia="標楷體" w:hAnsi="Times New Roman" w:cs="Times New Roman"/>
          <w:iCs/>
          <w:szCs w:val="24"/>
        </w:rPr>
        <w:t>Long-term Care Payments and Benefits Standards</w:t>
      </w:r>
      <w:r w:rsidRPr="00885A57">
        <w:rPr>
          <w:rFonts w:ascii="Times New Roman" w:eastAsia="標楷體" w:hAnsi="Times New Roman" w:cs="Times New Roman"/>
          <w:szCs w:val="24"/>
        </w:rPr>
        <w:t xml:space="preserve">, the MOHW provides an allowance of NT$40,000 every three years for incapacitated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to purchase and rent assistive technologies as well as have renovations. In 2020, local governments spent NT$646.86 million in total </w:t>
      </w:r>
      <w:r w:rsidR="008D1C3D">
        <w:rPr>
          <w:rFonts w:ascii="Times New Roman" w:eastAsia="標楷體" w:hAnsi="Times New Roman" w:cs="Times New Roman"/>
          <w:szCs w:val="24"/>
        </w:rPr>
        <w:t xml:space="preserve">on </w:t>
      </w:r>
      <w:r w:rsidRPr="00885A57">
        <w:rPr>
          <w:rFonts w:ascii="Times New Roman" w:eastAsia="標楷體" w:hAnsi="Times New Roman" w:cs="Times New Roman"/>
          <w:szCs w:val="24"/>
        </w:rPr>
        <w:t xml:space="preserve">assistive technology purchase/rental and home accessibility improvements, thereby reducing the </w:t>
      </w:r>
      <w:r w:rsidR="008D1C3D">
        <w:rPr>
          <w:rFonts w:ascii="Times New Roman" w:eastAsia="標楷體" w:hAnsi="Times New Roman" w:cs="Times New Roman"/>
          <w:szCs w:val="24"/>
        </w:rPr>
        <w:t xml:space="preserve">cost </w:t>
      </w:r>
      <w:r w:rsidRPr="00885A57">
        <w:rPr>
          <w:rFonts w:ascii="Times New Roman" w:eastAsia="標楷體" w:hAnsi="Times New Roman" w:cs="Times New Roman"/>
          <w:szCs w:val="24"/>
        </w:rPr>
        <w:t xml:space="preserve">burden of assistive technologies on said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and improving their mobility.</w:t>
      </w:r>
      <w:bookmarkEnd w:id="124"/>
      <w:r w:rsidRPr="00885A57">
        <w:rPr>
          <w:rStyle w:val="ab"/>
          <w:rFonts w:ascii="Times New Roman" w:eastAsia="標楷體" w:hAnsi="Times New Roman" w:cs="Times New Roman"/>
        </w:rPr>
        <w:footnoteReference w:id="78"/>
      </w:r>
    </w:p>
    <w:p w14:paraId="19944B49" w14:textId="6F9EAA5A" w:rsidR="005B6EA2" w:rsidRPr="00885A57" w:rsidRDefault="00832EC2" w:rsidP="00C50226">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25" w:name="_Ref55911133"/>
      <w:r w:rsidRPr="00885A57">
        <w:rPr>
          <w:rFonts w:ascii="Times New Roman" w:eastAsia="標楷體" w:hAnsi="Times New Roman" w:cs="Times New Roman"/>
          <w:szCs w:val="24"/>
        </w:rPr>
        <w:lastRenderedPageBreak/>
        <w:t xml:space="preserve">In 2019, the MOHW invited scholars and experts to discuss the feasibility of subsidizing maintenance or adjustment fees for medical assistive technologies within the specified subsidization period. Presently, </w:t>
      </w:r>
      <w:r w:rsidR="00512D98">
        <w:rPr>
          <w:rFonts w:ascii="Times New Roman" w:eastAsia="標楷體" w:hAnsi="Times New Roman" w:cs="Times New Roman"/>
          <w:szCs w:val="24"/>
        </w:rPr>
        <w:t xml:space="preserve">it has been ensured </w:t>
      </w:r>
      <w:r w:rsidRPr="00885A57">
        <w:rPr>
          <w:rFonts w:ascii="Times New Roman" w:eastAsia="標楷體" w:hAnsi="Times New Roman" w:cs="Times New Roman"/>
          <w:szCs w:val="24"/>
        </w:rPr>
        <w:t xml:space="preserve">that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w:t>
      </w:r>
      <w:r w:rsidR="00512D98">
        <w:rPr>
          <w:rFonts w:ascii="Times New Roman" w:eastAsia="標楷體" w:hAnsi="Times New Roman" w:cs="Times New Roman"/>
          <w:szCs w:val="24"/>
        </w:rPr>
        <w:t xml:space="preserve">can </w:t>
      </w:r>
      <w:r w:rsidRPr="00885A57">
        <w:rPr>
          <w:rFonts w:ascii="Times New Roman" w:eastAsia="標楷體" w:hAnsi="Times New Roman" w:cs="Times New Roman"/>
          <w:szCs w:val="24"/>
        </w:rPr>
        <w:t xml:space="preserve">afford the maintenance or adjustment fees for the minimum subsidization duration and warranty period. The government also established a </w:t>
      </w:r>
      <w:r w:rsidR="00644A17">
        <w:rPr>
          <w:rFonts w:ascii="Times New Roman" w:eastAsia="標楷體" w:hAnsi="Times New Roman" w:cs="Times New Roman"/>
          <w:szCs w:val="24"/>
        </w:rPr>
        <w:t xml:space="preserve">system whereby people can rent </w:t>
      </w:r>
      <w:r w:rsidRPr="00885A57">
        <w:rPr>
          <w:rFonts w:ascii="Times New Roman" w:eastAsia="標楷體" w:hAnsi="Times New Roman" w:cs="Times New Roman"/>
          <w:szCs w:val="24"/>
        </w:rPr>
        <w:t>high-cost technologies</w:t>
      </w:r>
      <w:r w:rsidR="00644A17">
        <w:rPr>
          <w:rFonts w:ascii="Times New Roman" w:eastAsia="標楷體" w:hAnsi="Times New Roman" w:cs="Times New Roman"/>
          <w:szCs w:val="24"/>
        </w:rPr>
        <w:t xml:space="preserve"> instead of buying them</w:t>
      </w:r>
      <w:r w:rsidRPr="00885A57">
        <w:rPr>
          <w:rFonts w:ascii="Times New Roman" w:eastAsia="標楷體" w:hAnsi="Times New Roman" w:cs="Times New Roman"/>
          <w:szCs w:val="24"/>
        </w:rPr>
        <w:t xml:space="preserve">. The existing </w:t>
      </w:r>
      <w:r w:rsidR="00644A17">
        <w:rPr>
          <w:rFonts w:ascii="Times New Roman" w:eastAsia="標楷體" w:hAnsi="Times New Roman" w:cs="Times New Roman"/>
          <w:szCs w:val="24"/>
        </w:rPr>
        <w:t xml:space="preserve">regulations on subsidies remain </w:t>
      </w:r>
      <w:r w:rsidRPr="00885A57">
        <w:rPr>
          <w:rFonts w:ascii="Times New Roman" w:eastAsia="標楷體" w:hAnsi="Times New Roman" w:cs="Times New Roman"/>
          <w:szCs w:val="24"/>
        </w:rPr>
        <w:t>unchanged to facilitate effective resource use. Between 2016 and 2019, the amount of subsidies totaled NT$280 million, benefiting 42,879 people (Table 20.3)</w:t>
      </w:r>
      <w:bookmarkEnd w:id="125"/>
      <w:r w:rsidRPr="00885A57">
        <w:rPr>
          <w:rFonts w:ascii="Times New Roman" w:eastAsia="標楷體" w:hAnsi="Times New Roman" w:cs="Times New Roman"/>
          <w:kern w:val="0"/>
          <w:szCs w:val="24"/>
        </w:rPr>
        <w:t>.</w:t>
      </w:r>
    </w:p>
    <w:p w14:paraId="7A8FA4E4" w14:textId="697BED6A" w:rsidR="000363D7" w:rsidRPr="008A2A59" w:rsidRDefault="007B70BC" w:rsidP="00C50226">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A2A59">
        <w:rPr>
          <w:rFonts w:ascii="Times New Roman" w:eastAsia="標楷體" w:hAnsi="Times New Roman" w:cs="Times New Roman"/>
          <w:szCs w:val="24"/>
        </w:rPr>
        <w:t xml:space="preserve">To respond to </w:t>
      </w:r>
      <w:r w:rsidR="008A2A59">
        <w:rPr>
          <w:rFonts w:ascii="Times New Roman" w:eastAsia="標楷體" w:hAnsi="Times New Roman" w:cs="Times New Roman"/>
          <w:szCs w:val="24"/>
        </w:rPr>
        <w:t xml:space="preserve">the continuing release of </w:t>
      </w:r>
      <w:r w:rsidRPr="008A2A59">
        <w:rPr>
          <w:rFonts w:ascii="Times New Roman" w:eastAsia="標楷體" w:hAnsi="Times New Roman" w:cs="Times New Roman"/>
          <w:szCs w:val="24"/>
        </w:rPr>
        <w:t xml:space="preserve">assistive technologies and </w:t>
      </w:r>
      <w:r w:rsidR="008A2A59">
        <w:rPr>
          <w:rFonts w:ascii="Times New Roman" w:eastAsia="標楷體" w:hAnsi="Times New Roman" w:cs="Times New Roman"/>
          <w:szCs w:val="24"/>
        </w:rPr>
        <w:t xml:space="preserve">the varying needs of </w:t>
      </w:r>
      <w:r w:rsidRPr="008A2A59">
        <w:rPr>
          <w:rFonts w:ascii="Times New Roman" w:eastAsia="標楷體" w:hAnsi="Times New Roman" w:cs="Times New Roman"/>
          <w:szCs w:val="24"/>
        </w:rPr>
        <w:t xml:space="preserve">people with disabilities, the MOHW regularly reviews the </w:t>
      </w:r>
      <w:r w:rsidR="007756EC">
        <w:rPr>
          <w:rFonts w:ascii="Times New Roman" w:eastAsia="標楷體" w:hAnsi="Times New Roman" w:cs="Times New Roman"/>
          <w:szCs w:val="24"/>
        </w:rPr>
        <w:t xml:space="preserve">rules for providing subsidies </w:t>
      </w:r>
      <w:r w:rsidRPr="008A2A59">
        <w:rPr>
          <w:rFonts w:ascii="Times New Roman" w:eastAsia="標楷體" w:hAnsi="Times New Roman" w:cs="Times New Roman"/>
          <w:szCs w:val="24"/>
        </w:rPr>
        <w:t>for assistive technologies and has commissioned National Yang</w:t>
      </w:r>
      <w:r w:rsidR="00CD2CAE" w:rsidRPr="008A2A59">
        <w:rPr>
          <w:rFonts w:ascii="Times New Roman" w:eastAsia="標楷體" w:hAnsi="Times New Roman" w:cs="Times New Roman"/>
          <w:szCs w:val="24"/>
        </w:rPr>
        <w:t xml:space="preserve"> </w:t>
      </w:r>
      <w:r w:rsidRPr="008A2A59">
        <w:rPr>
          <w:rFonts w:ascii="Times New Roman" w:eastAsia="標楷體" w:hAnsi="Times New Roman" w:cs="Times New Roman"/>
          <w:szCs w:val="24"/>
        </w:rPr>
        <w:t xml:space="preserve">Ming University to determine the </w:t>
      </w:r>
      <w:r w:rsidR="007756EC">
        <w:rPr>
          <w:rFonts w:ascii="Times New Roman" w:eastAsia="標楷體" w:hAnsi="Times New Roman" w:cs="Times New Roman"/>
          <w:szCs w:val="24"/>
        </w:rPr>
        <w:t xml:space="preserve">situation on use of </w:t>
      </w:r>
      <w:r w:rsidRPr="008A2A59">
        <w:rPr>
          <w:rFonts w:ascii="Times New Roman" w:eastAsia="標楷體" w:hAnsi="Times New Roman" w:cs="Times New Roman"/>
          <w:szCs w:val="24"/>
        </w:rPr>
        <w:t xml:space="preserve">assistive technologies and collect relevant opinions. </w:t>
      </w:r>
      <w:r w:rsidR="007756EC">
        <w:rPr>
          <w:rFonts w:ascii="Times New Roman" w:eastAsia="標楷體" w:hAnsi="Times New Roman" w:cs="Times New Roman"/>
          <w:szCs w:val="24"/>
        </w:rPr>
        <w:t>T</w:t>
      </w:r>
      <w:r w:rsidR="007756EC" w:rsidRPr="008A2A59">
        <w:rPr>
          <w:rFonts w:ascii="Times New Roman" w:eastAsia="標楷體" w:hAnsi="Times New Roman" w:cs="Times New Roman"/>
          <w:szCs w:val="24"/>
        </w:rPr>
        <w:t xml:space="preserve">he </w:t>
      </w:r>
      <w:r w:rsidRPr="008A2A59">
        <w:rPr>
          <w:rFonts w:ascii="Times New Roman" w:eastAsia="標楷體" w:hAnsi="Times New Roman" w:cs="Times New Roman"/>
          <w:szCs w:val="24"/>
        </w:rPr>
        <w:t xml:space="preserve">MOHW plans to discuss and verify the collected data with relevant departments and expects to amend existing rules by 2021 </w:t>
      </w:r>
      <w:r w:rsidR="007756EC">
        <w:rPr>
          <w:rFonts w:ascii="Times New Roman" w:eastAsia="標楷體" w:hAnsi="Times New Roman" w:cs="Times New Roman"/>
          <w:szCs w:val="24"/>
        </w:rPr>
        <w:t xml:space="preserve">to </w:t>
      </w:r>
      <w:r w:rsidRPr="008A2A59">
        <w:rPr>
          <w:rFonts w:ascii="Times New Roman" w:eastAsia="標楷體" w:hAnsi="Times New Roman" w:cs="Times New Roman"/>
          <w:szCs w:val="24"/>
        </w:rPr>
        <w:t>mitigate the burden of assistive technologies use on people with disabilities.</w:t>
      </w:r>
    </w:p>
    <w:p w14:paraId="1F379E9A" w14:textId="5D08D9DF" w:rsidR="0021474C" w:rsidRPr="00BE5CBC" w:rsidRDefault="007B70BC" w:rsidP="00C50226">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BE5CBC">
        <w:rPr>
          <w:rFonts w:ascii="Times New Roman" w:eastAsia="標楷體" w:hAnsi="Times New Roman" w:cs="Times New Roman"/>
          <w:szCs w:val="24"/>
        </w:rPr>
        <w:t xml:space="preserve">To improve service accessibility, the MOHW continues to instruct local governments to confirm the need for assistive technologies and available resources within their jurisdiction, actively establish assistive technology centers and service centers, recruit professionals, and strengthen service access as well as apply flexibility through adopting various approaches, such as having vehicles travel to provide assistive technologies services. By 2019, 33 assistive </w:t>
      </w:r>
      <w:r w:rsidRPr="00BE5CBC">
        <w:rPr>
          <w:rFonts w:ascii="Times New Roman" w:eastAsia="標楷體" w:hAnsi="Times New Roman" w:cs="Times New Roman"/>
          <w:szCs w:val="24"/>
        </w:rPr>
        <w:lastRenderedPageBreak/>
        <w:t>technology centers and 88 service centers had been established, with the budget having been elevated from NT$21.18 million in 2016 to NT$108.38 million in 2019 (Table 20.4). The government aims to increase the number of these two types of centers to 39 and 134</w:t>
      </w:r>
      <w:r w:rsidR="00991E12">
        <w:rPr>
          <w:rFonts w:ascii="Times New Roman" w:eastAsia="標楷體" w:hAnsi="Times New Roman" w:cs="Times New Roman"/>
          <w:szCs w:val="24"/>
        </w:rPr>
        <w:t>,</w:t>
      </w:r>
      <w:r w:rsidR="00991E12" w:rsidRPr="00991E12">
        <w:rPr>
          <w:rFonts w:ascii="Times New Roman" w:eastAsia="標楷體" w:hAnsi="Times New Roman" w:cs="Times New Roman"/>
          <w:szCs w:val="24"/>
        </w:rPr>
        <w:t xml:space="preserve"> </w:t>
      </w:r>
      <w:r w:rsidR="00991E12" w:rsidRPr="00B53093">
        <w:rPr>
          <w:rFonts w:ascii="Times New Roman" w:eastAsia="標楷體" w:hAnsi="Times New Roman" w:cs="Times New Roman"/>
          <w:szCs w:val="24"/>
        </w:rPr>
        <w:t>respectively</w:t>
      </w:r>
      <w:r w:rsidR="00991E12">
        <w:rPr>
          <w:rFonts w:ascii="Times New Roman" w:eastAsia="標楷體" w:hAnsi="Times New Roman" w:cs="Times New Roman"/>
          <w:szCs w:val="24"/>
        </w:rPr>
        <w:t>,</w:t>
      </w:r>
      <w:r w:rsidRPr="00BE5CBC">
        <w:rPr>
          <w:rFonts w:ascii="Times New Roman" w:eastAsia="標楷體" w:hAnsi="Times New Roman" w:cs="Times New Roman"/>
          <w:szCs w:val="24"/>
        </w:rPr>
        <w:t xml:space="preserve"> by 2023. Additionally, the government has established an assistive technology resource portal, convened regular liaison meetings on disability assistive technology integration, provided a communication and exchange platform between technology development and industry promotion sectors, and strengthened sharing and integration of relevant resources between government agencies.</w:t>
      </w:r>
    </w:p>
    <w:p w14:paraId="3EB76EB6" w14:textId="642C6873" w:rsidR="0021474C" w:rsidRPr="00885A57" w:rsidRDefault="007B70BC"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safeguard the financial stability of laborers who have </w:t>
      </w:r>
      <w:r w:rsidR="00991E12">
        <w:rPr>
          <w:rFonts w:ascii="Times New Roman" w:eastAsia="標楷體" w:hAnsi="Times New Roman" w:cs="Times New Roman"/>
          <w:szCs w:val="24"/>
        </w:rPr>
        <w:t xml:space="preserve">had </w:t>
      </w:r>
      <w:r w:rsidRPr="00885A57">
        <w:rPr>
          <w:rFonts w:ascii="Times New Roman" w:eastAsia="標楷體" w:hAnsi="Times New Roman" w:cs="Times New Roman"/>
          <w:szCs w:val="24"/>
        </w:rPr>
        <w:t xml:space="preserve">occupational accidents, the MOL offers </w:t>
      </w:r>
      <w:r w:rsidR="00991E12">
        <w:rPr>
          <w:rFonts w:ascii="Times New Roman" w:eastAsia="標楷體" w:hAnsi="Times New Roman" w:cs="Times New Roman"/>
          <w:szCs w:val="24"/>
        </w:rPr>
        <w:t xml:space="preserve">such individuals </w:t>
      </w:r>
      <w:r w:rsidRPr="00885A57">
        <w:rPr>
          <w:rFonts w:ascii="Times New Roman" w:eastAsia="標楷體" w:hAnsi="Times New Roman" w:cs="Times New Roman"/>
          <w:szCs w:val="24"/>
        </w:rPr>
        <w:t xml:space="preserve">subsidies to purchase assistive technologies for daily living and rehabilitation, providing subsidies for 105 assistive technologies for daily living and rehabilitation purposes according to the </w:t>
      </w:r>
      <w:r w:rsidRPr="002153DE">
        <w:rPr>
          <w:rFonts w:ascii="Times New Roman" w:eastAsia="標楷體" w:hAnsi="Times New Roman" w:cs="Times New Roman"/>
          <w:iCs/>
          <w:szCs w:val="24"/>
        </w:rPr>
        <w:t>Act for Protecting Worker of Occupational Accidents</w:t>
      </w:r>
      <w:r w:rsidRPr="00885A57">
        <w:rPr>
          <w:rFonts w:ascii="Times New Roman" w:eastAsia="標楷體" w:hAnsi="Times New Roman" w:cs="Times New Roman"/>
          <w:szCs w:val="24"/>
        </w:rPr>
        <w:t xml:space="preserve">. The </w:t>
      </w:r>
      <w:r w:rsidR="00991E12">
        <w:rPr>
          <w:rFonts w:ascii="Times New Roman" w:eastAsia="標楷體" w:hAnsi="Times New Roman" w:cs="Times New Roman"/>
          <w:szCs w:val="24"/>
        </w:rPr>
        <w:t xml:space="preserve">maximum </w:t>
      </w:r>
      <w:r w:rsidRPr="00885A57">
        <w:rPr>
          <w:rFonts w:ascii="Times New Roman" w:eastAsia="標楷體" w:hAnsi="Times New Roman" w:cs="Times New Roman"/>
          <w:szCs w:val="24"/>
        </w:rPr>
        <w:t xml:space="preserve">allowable subsidy per person </w:t>
      </w:r>
      <w:r w:rsidRPr="00885A57">
        <w:rPr>
          <w:rFonts w:ascii="Times New Roman" w:eastAsia="標楷體" w:hAnsi="Times New Roman" w:cs="Times New Roman"/>
          <w:szCs w:val="24"/>
          <w:shd w:val="clear" w:color="auto" w:fill="FFFFFF"/>
        </w:rPr>
        <w:t xml:space="preserve">per year </w:t>
      </w:r>
      <w:r w:rsidRPr="00885A57">
        <w:rPr>
          <w:rFonts w:ascii="Times New Roman" w:eastAsia="標楷體" w:hAnsi="Times New Roman" w:cs="Times New Roman"/>
          <w:szCs w:val="24"/>
        </w:rPr>
        <w:t xml:space="preserve">is NT$60,000, and the number of subsidized technologies is four at most, regardless of income level. In </w:t>
      </w:r>
      <w:r w:rsidR="008F00C4">
        <w:rPr>
          <w:rFonts w:ascii="Times New Roman" w:eastAsia="標楷體" w:hAnsi="Times New Roman" w:cs="Times New Roman"/>
          <w:szCs w:val="24"/>
        </w:rPr>
        <w:t xml:space="preserve">the period </w:t>
      </w:r>
      <w:r w:rsidRPr="00885A57">
        <w:rPr>
          <w:rFonts w:ascii="Times New Roman" w:eastAsia="標楷體" w:hAnsi="Times New Roman" w:cs="Times New Roman"/>
          <w:szCs w:val="24"/>
        </w:rPr>
        <w:t>2016</w:t>
      </w:r>
      <w:r w:rsidR="008F00C4">
        <w:rPr>
          <w:rFonts w:ascii="Times New Roman" w:eastAsia="標楷體" w:hAnsi="Times New Roman" w:cs="Times New Roman"/>
          <w:szCs w:val="24"/>
        </w:rPr>
        <w:t>-</w:t>
      </w:r>
      <w:r w:rsidRPr="00885A57">
        <w:rPr>
          <w:rFonts w:ascii="Times New Roman" w:eastAsia="標楷體" w:hAnsi="Times New Roman" w:cs="Times New Roman"/>
          <w:szCs w:val="24"/>
        </w:rPr>
        <w:t xml:space="preserve">2019, subsidies </w:t>
      </w:r>
      <w:r w:rsidRPr="00885A57">
        <w:rPr>
          <w:rFonts w:ascii="Times New Roman" w:eastAsia="標楷體" w:hAnsi="Times New Roman" w:cs="Times New Roman"/>
          <w:szCs w:val="24"/>
          <w:shd w:val="clear" w:color="auto" w:fill="FFFFFF"/>
        </w:rPr>
        <w:t xml:space="preserve">amounting to </w:t>
      </w:r>
      <w:r w:rsidRPr="00885A57">
        <w:rPr>
          <w:rFonts w:ascii="Times New Roman" w:eastAsia="標楷體" w:hAnsi="Times New Roman" w:cs="Times New Roman"/>
          <w:szCs w:val="24"/>
        </w:rPr>
        <w:t>more than NT$30.53 million were provided to 2,373 individuals.</w:t>
      </w:r>
    </w:p>
    <w:p w14:paraId="2A3B226F" w14:textId="2DDC2913" w:rsidR="00E334E7" w:rsidRPr="00885A57" w:rsidRDefault="007B70BC" w:rsidP="00C50226">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On the basis of their learning and living needs at schools, the government and schools, by determining students’ needs through professional assessment pursuant to the SEA, provide educational assistive technologies. </w:t>
      </w:r>
      <w:r w:rsidR="008F00C4">
        <w:rPr>
          <w:rFonts w:ascii="Times New Roman" w:eastAsia="標楷體" w:hAnsi="Times New Roman" w:cs="Times New Roman"/>
          <w:szCs w:val="24"/>
        </w:rPr>
        <w:t xml:space="preserve">Through providing an annual subsidy to </w:t>
      </w:r>
      <w:r w:rsidRPr="00885A57">
        <w:rPr>
          <w:rFonts w:ascii="Times New Roman" w:eastAsia="標楷體" w:hAnsi="Times New Roman" w:cs="Times New Roman"/>
          <w:szCs w:val="24"/>
        </w:rPr>
        <w:t xml:space="preserve">local governments, the MOE allows local resource centers and schools to purchase suitable assistive technologies for </w:t>
      </w:r>
      <w:r w:rsidRPr="00885A57">
        <w:rPr>
          <w:rFonts w:ascii="Times New Roman" w:eastAsia="標楷體" w:hAnsi="Times New Roman" w:cs="Times New Roman"/>
          <w:szCs w:val="24"/>
        </w:rPr>
        <w:lastRenderedPageBreak/>
        <w:t xml:space="preserve">preschool, elementary school, and junior high school students. Regarding senior high schools and universities, the government has established three educational assistive technology centers, from which services are provided by aligning </w:t>
      </w:r>
      <w:r w:rsidR="008F00C4">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assistive technology expertise </w:t>
      </w:r>
      <w:r w:rsidR="008F00C4">
        <w:rPr>
          <w:rFonts w:ascii="Times New Roman" w:eastAsia="標楷體" w:hAnsi="Times New Roman" w:cs="Times New Roman"/>
          <w:szCs w:val="24"/>
        </w:rPr>
        <w:t xml:space="preserve">of </w:t>
      </w:r>
      <w:r w:rsidRPr="00885A57">
        <w:rPr>
          <w:rFonts w:ascii="Times New Roman" w:eastAsia="標楷體" w:hAnsi="Times New Roman" w:cs="Times New Roman"/>
          <w:szCs w:val="24"/>
        </w:rPr>
        <w:t xml:space="preserve">local governments with a process comprising needs assessment, provision of assistive technologies according to user need, and </w:t>
      </w:r>
      <w:r w:rsidRPr="00885A57">
        <w:rPr>
          <w:rFonts w:ascii="Times New Roman" w:eastAsia="標楷體" w:hAnsi="Times New Roman" w:cs="Times New Roman"/>
          <w:strike/>
          <w:szCs w:val="24"/>
          <w:highlight w:val="yellow"/>
        </w:rPr>
        <w:t xml:space="preserve"> </w:t>
      </w:r>
      <w:r w:rsidRPr="00885A57">
        <w:rPr>
          <w:rFonts w:ascii="Times New Roman" w:eastAsia="標楷體" w:hAnsi="Times New Roman" w:cs="Times New Roman"/>
          <w:szCs w:val="24"/>
        </w:rPr>
        <w:t xml:space="preserve">circulation, maintenance, and professional consultation </w:t>
      </w:r>
      <w:r w:rsidR="008F00C4">
        <w:rPr>
          <w:rFonts w:ascii="Times New Roman" w:eastAsia="標楷體" w:hAnsi="Times New Roman" w:cs="Times New Roman"/>
          <w:szCs w:val="24"/>
        </w:rPr>
        <w:t xml:space="preserve">on </w:t>
      </w:r>
      <w:r w:rsidRPr="00885A57">
        <w:rPr>
          <w:rFonts w:ascii="Times New Roman" w:eastAsia="標楷體" w:hAnsi="Times New Roman" w:cs="Times New Roman"/>
          <w:szCs w:val="24"/>
        </w:rPr>
        <w:t>assistive technologies; professional assessment</w:t>
      </w:r>
      <w:r w:rsidR="008F00C4">
        <w:rPr>
          <w:rFonts w:ascii="Times New Roman" w:eastAsia="標楷體" w:hAnsi="Times New Roman" w:cs="Times New Roman"/>
          <w:szCs w:val="24"/>
        </w:rPr>
        <w:t>s</w:t>
      </w:r>
      <w:r w:rsidRPr="00885A57">
        <w:rPr>
          <w:rFonts w:ascii="Times New Roman" w:eastAsia="標楷體" w:hAnsi="Times New Roman" w:cs="Times New Roman"/>
          <w:szCs w:val="24"/>
        </w:rPr>
        <w:t xml:space="preserve"> </w:t>
      </w:r>
      <w:r w:rsidR="008F00C4">
        <w:rPr>
          <w:rFonts w:ascii="Times New Roman" w:eastAsia="標楷體" w:hAnsi="Times New Roman" w:cs="Times New Roman"/>
          <w:szCs w:val="24"/>
        </w:rPr>
        <w:t xml:space="preserve">are </w:t>
      </w:r>
      <w:r w:rsidRPr="00885A57">
        <w:rPr>
          <w:rFonts w:ascii="Times New Roman" w:eastAsia="標楷體" w:hAnsi="Times New Roman" w:cs="Times New Roman"/>
          <w:szCs w:val="24"/>
        </w:rPr>
        <w:t xml:space="preserve">conducted to identify students’ needs and all technologies </w:t>
      </w:r>
      <w:r w:rsidR="008F00C4">
        <w:rPr>
          <w:rFonts w:ascii="Times New Roman" w:eastAsia="標楷體" w:hAnsi="Times New Roman" w:cs="Times New Roman"/>
          <w:szCs w:val="24"/>
        </w:rPr>
        <w:t xml:space="preserve">are provided </w:t>
      </w:r>
      <w:r w:rsidRPr="00885A57">
        <w:rPr>
          <w:rFonts w:ascii="Times New Roman" w:eastAsia="標楷體" w:hAnsi="Times New Roman" w:cs="Times New Roman"/>
          <w:szCs w:val="24"/>
        </w:rPr>
        <w:t>free of charge (Table 20.5).</w:t>
      </w:r>
    </w:p>
    <w:p w14:paraId="03909CBF" w14:textId="0B740D19" w:rsidR="005C59F5" w:rsidRPr="00885A57" w:rsidRDefault="007B70BC"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safeguard the rights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visual impairment and the right to guide dog use, the MOHW continues to subsidize professional guide dog training associations in organizing qualified dog training and </w:t>
      </w:r>
      <w:r w:rsidR="008F00C4">
        <w:rPr>
          <w:rFonts w:ascii="Times New Roman" w:eastAsia="標楷體" w:hAnsi="Times New Roman" w:cs="Times New Roman"/>
          <w:szCs w:val="24"/>
        </w:rPr>
        <w:t>promotional efforts</w:t>
      </w:r>
      <w:r w:rsidRPr="00885A57">
        <w:rPr>
          <w:rFonts w:ascii="Times New Roman" w:eastAsia="標楷體" w:hAnsi="Times New Roman" w:cs="Times New Roman"/>
          <w:szCs w:val="24"/>
        </w:rPr>
        <w:t xml:space="preserve">, </w:t>
      </w:r>
      <w:r w:rsidR="008F00C4">
        <w:rPr>
          <w:rFonts w:ascii="Times New Roman" w:eastAsia="標楷體" w:hAnsi="Times New Roman" w:cs="Times New Roman"/>
          <w:szCs w:val="24"/>
        </w:rPr>
        <w:t xml:space="preserve">share </w:t>
      </w:r>
      <w:r w:rsidRPr="00885A57">
        <w:rPr>
          <w:rFonts w:ascii="Times New Roman" w:eastAsia="標楷體" w:hAnsi="Times New Roman" w:cs="Times New Roman"/>
          <w:szCs w:val="24"/>
        </w:rPr>
        <w:t xml:space="preserve">information on guide dog training and the importance of socialization to the public, and encourage </w:t>
      </w:r>
      <w:r w:rsidR="003F6195">
        <w:rPr>
          <w:rFonts w:ascii="Times New Roman" w:eastAsia="標楷體" w:hAnsi="Times New Roman" w:cs="Times New Roman" w:hint="eastAsia"/>
          <w:szCs w:val="24"/>
        </w:rPr>
        <w:t xml:space="preserve">creating an environment supportive of </w:t>
      </w:r>
      <w:r w:rsidRPr="00885A57">
        <w:rPr>
          <w:rFonts w:ascii="Times New Roman" w:eastAsia="標楷體" w:hAnsi="Times New Roman" w:cs="Times New Roman"/>
          <w:szCs w:val="24"/>
        </w:rPr>
        <w:t>guide</w:t>
      </w:r>
      <w:r w:rsidR="003F6195">
        <w:rPr>
          <w:rFonts w:ascii="Times New Roman" w:eastAsia="標楷體" w:hAnsi="Times New Roman" w:cs="Times New Roman"/>
          <w:szCs w:val="24"/>
        </w:rPr>
        <w:t xml:space="preserve"> </w:t>
      </w:r>
      <w:r w:rsidRPr="00885A57">
        <w:rPr>
          <w:rFonts w:ascii="Times New Roman" w:eastAsia="標楷體" w:hAnsi="Times New Roman" w:cs="Times New Roman"/>
          <w:szCs w:val="24"/>
        </w:rPr>
        <w:t>dog</w:t>
      </w:r>
      <w:r w:rsidR="003F6195">
        <w:rPr>
          <w:rFonts w:ascii="Times New Roman" w:eastAsia="標楷體" w:hAnsi="Times New Roman" w:cs="Times New Roman"/>
          <w:szCs w:val="24"/>
        </w:rPr>
        <w:t>s</w:t>
      </w:r>
      <w:r w:rsidRPr="00885A57">
        <w:rPr>
          <w:rFonts w:ascii="Times New Roman" w:eastAsia="標楷體" w:hAnsi="Times New Roman" w:cs="Times New Roman"/>
          <w:szCs w:val="24"/>
        </w:rPr>
        <w:t>. As of 2019, Taiwan had 36 qualified guide dogs and 109 guide dog puppies in training centers.</w:t>
      </w:r>
    </w:p>
    <w:p w14:paraId="5DD9EB61" w14:textId="1A754183" w:rsidR="0021474C" w:rsidRPr="00885A57" w:rsidRDefault="007B70BC" w:rsidP="001A2139">
      <w:pPr>
        <w:spacing w:after="120" w:line="360" w:lineRule="auto"/>
        <w:rPr>
          <w:rFonts w:ascii="Times New Roman" w:eastAsia="標楷體" w:hAnsi="Times New Roman" w:cs="Times New Roman"/>
          <w:szCs w:val="28"/>
        </w:rPr>
      </w:pPr>
      <w:r w:rsidRPr="00885A57">
        <w:rPr>
          <w:rFonts w:ascii="Times New Roman" w:eastAsia="標楷體" w:hAnsi="Times New Roman" w:cs="Times New Roman"/>
          <w:szCs w:val="24"/>
        </w:rPr>
        <w:t>B.  Development and research of assistive technologies and national standards</w:t>
      </w:r>
    </w:p>
    <w:p w14:paraId="6F8645D2" w14:textId="1A647890" w:rsidR="0021474C" w:rsidRPr="00885A57" w:rsidRDefault="007B70BC" w:rsidP="00C50226">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In </w:t>
      </w:r>
      <w:r w:rsidR="00770568">
        <w:rPr>
          <w:rFonts w:ascii="Times New Roman" w:eastAsia="標楷體" w:hAnsi="Times New Roman" w:cs="Times New Roman"/>
          <w:szCs w:val="24"/>
        </w:rPr>
        <w:t xml:space="preserve">the period </w:t>
      </w:r>
      <w:r w:rsidRPr="00885A57">
        <w:rPr>
          <w:rFonts w:ascii="Times New Roman" w:eastAsia="標楷體" w:hAnsi="Times New Roman" w:cs="Times New Roman"/>
          <w:szCs w:val="24"/>
        </w:rPr>
        <w:t>2016</w:t>
      </w:r>
      <w:r w:rsidR="00770568">
        <w:rPr>
          <w:rFonts w:ascii="Times New Roman" w:eastAsia="標楷體" w:hAnsi="Times New Roman" w:cs="Times New Roman"/>
          <w:szCs w:val="24"/>
        </w:rPr>
        <w:t>-</w:t>
      </w:r>
      <w:r w:rsidRPr="00885A57">
        <w:rPr>
          <w:rFonts w:ascii="Times New Roman" w:eastAsia="標楷體" w:hAnsi="Times New Roman" w:cs="Times New Roman"/>
          <w:szCs w:val="24"/>
        </w:rPr>
        <w:t xml:space="preserve">2019, the </w:t>
      </w:r>
      <w:r w:rsidR="00770568">
        <w:rPr>
          <w:rFonts w:ascii="Times New Roman" w:eastAsia="標楷體" w:hAnsi="Times New Roman" w:cs="Times New Roman"/>
          <w:szCs w:val="24"/>
        </w:rPr>
        <w:t xml:space="preserve">MOST </w:t>
      </w:r>
      <w:r w:rsidRPr="00885A57">
        <w:rPr>
          <w:rFonts w:ascii="Times New Roman" w:eastAsia="標楷體" w:hAnsi="Times New Roman" w:cs="Times New Roman"/>
          <w:szCs w:val="24"/>
        </w:rPr>
        <w:t xml:space="preserve">subsidized 116 research and development projects on assistive technologies </w:t>
      </w:r>
      <w:r w:rsidR="008F00C4">
        <w:rPr>
          <w:rFonts w:ascii="Times New Roman" w:eastAsia="標楷體" w:hAnsi="Times New Roman" w:cs="Times New Roman"/>
          <w:szCs w:val="24"/>
        </w:rPr>
        <w:t xml:space="preserve">to the sum of </w:t>
      </w:r>
      <w:r w:rsidRPr="00885A57">
        <w:rPr>
          <w:rFonts w:ascii="Times New Roman" w:eastAsia="標楷體" w:hAnsi="Times New Roman" w:cs="Times New Roman"/>
          <w:szCs w:val="24"/>
        </w:rPr>
        <w:t>NT$199 million, accounting for 17.8</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funding for biomedical engineering research. Since 2017, the ministry has implemented the Assistive Technology Research Project and subsidized 38 projects between 2017 and 2019, </w:t>
      </w:r>
      <w:r w:rsidR="008F00C4">
        <w:rPr>
          <w:rFonts w:ascii="Times New Roman" w:eastAsia="標楷體" w:hAnsi="Times New Roman" w:cs="Times New Roman"/>
          <w:szCs w:val="24"/>
        </w:rPr>
        <w:t xml:space="preserve">to the sum of </w:t>
      </w:r>
      <w:r w:rsidRPr="00885A57">
        <w:rPr>
          <w:rFonts w:ascii="Times New Roman" w:eastAsia="標楷體" w:hAnsi="Times New Roman" w:cs="Times New Roman"/>
          <w:szCs w:val="24"/>
        </w:rPr>
        <w:t xml:space="preserve">NT$120 million (Table 20.6). Among these projects, eight were related to personal medical assistive technologies, 13 </w:t>
      </w:r>
      <w:r w:rsidR="0037468B">
        <w:rPr>
          <w:rFonts w:ascii="Times New Roman" w:eastAsia="標楷體" w:hAnsi="Times New Roman" w:cs="Times New Roman"/>
          <w:szCs w:val="24"/>
        </w:rPr>
        <w:t>concerned</w:t>
      </w:r>
      <w:r w:rsidR="0037468B"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skills training devices, four </w:t>
      </w:r>
      <w:r w:rsidR="0037468B">
        <w:rPr>
          <w:rFonts w:ascii="Times New Roman" w:eastAsia="標楷體" w:hAnsi="Times New Roman" w:cs="Times New Roman"/>
          <w:szCs w:val="24"/>
        </w:rPr>
        <w:t xml:space="preserve">addressed </w:t>
      </w:r>
      <w:r w:rsidRPr="00885A57">
        <w:rPr>
          <w:rFonts w:ascii="Times New Roman" w:eastAsia="標楷體" w:hAnsi="Times New Roman" w:cs="Times New Roman"/>
          <w:szCs w:val="24"/>
        </w:rPr>
        <w:t xml:space="preserve">daily </w:t>
      </w:r>
      <w:r w:rsidRPr="00885A57">
        <w:rPr>
          <w:rFonts w:ascii="Times New Roman" w:eastAsia="標楷體" w:hAnsi="Times New Roman" w:cs="Times New Roman"/>
          <w:szCs w:val="24"/>
        </w:rPr>
        <w:lastRenderedPageBreak/>
        <w:t xml:space="preserve">living devices, and seven </w:t>
      </w:r>
      <w:r w:rsidR="0037468B">
        <w:rPr>
          <w:rFonts w:ascii="Times New Roman" w:eastAsia="標楷體" w:hAnsi="Times New Roman" w:cs="Times New Roman"/>
          <w:szCs w:val="24"/>
        </w:rPr>
        <w:t xml:space="preserve">dealt with </w:t>
      </w:r>
      <w:r w:rsidRPr="00885A57">
        <w:rPr>
          <w:rFonts w:ascii="Times New Roman" w:eastAsia="標楷體" w:hAnsi="Times New Roman" w:cs="Times New Roman"/>
          <w:szCs w:val="24"/>
        </w:rPr>
        <w:t>communication and information devices (</w:t>
      </w:r>
      <w:r w:rsidR="008F00C4">
        <w:rPr>
          <w:rFonts w:ascii="Times New Roman" w:eastAsia="標楷體" w:hAnsi="Times New Roman" w:cs="Times New Roman"/>
          <w:szCs w:val="24"/>
        </w:rPr>
        <w:t xml:space="preserve">such </w:t>
      </w:r>
      <w:r w:rsidRPr="00885A57">
        <w:rPr>
          <w:rFonts w:ascii="Times New Roman" w:eastAsia="標楷體" w:hAnsi="Times New Roman" w:cs="Times New Roman"/>
          <w:szCs w:val="24"/>
        </w:rPr>
        <w:t xml:space="preserve">devices are categorized in accordance with the classification standard CNS15390 for assistive technologies). </w:t>
      </w:r>
      <w:r w:rsidR="008F00C4">
        <w:rPr>
          <w:rFonts w:ascii="Times New Roman" w:eastAsia="標楷體" w:hAnsi="Times New Roman" w:cs="Times New Roman"/>
          <w:szCs w:val="24"/>
        </w:rPr>
        <w:t>D</w:t>
      </w:r>
      <w:r w:rsidRPr="00885A57">
        <w:rPr>
          <w:rFonts w:ascii="Times New Roman" w:eastAsia="標楷體" w:hAnsi="Times New Roman" w:cs="Times New Roman"/>
          <w:szCs w:val="24"/>
        </w:rPr>
        <w:t>eveloped assistive technologies were subject to relevant field tests prior to clinical trials in order to obtain</w:t>
      </w:r>
      <w:r w:rsidR="008F00C4">
        <w:rPr>
          <w:rFonts w:ascii="Times New Roman" w:eastAsia="標楷體" w:hAnsi="Times New Roman" w:cs="Times New Roman"/>
          <w:szCs w:val="24"/>
        </w:rPr>
        <w:t xml:space="preserve"> broad </w:t>
      </w:r>
      <w:r w:rsidRPr="00885A57">
        <w:rPr>
          <w:rFonts w:ascii="Times New Roman" w:eastAsia="標楷體" w:hAnsi="Times New Roman" w:cs="Times New Roman"/>
          <w:szCs w:val="24"/>
        </w:rPr>
        <w:t xml:space="preserve">user feedback; the number of test participants with disabilities and individuals who accompanied them was 330. The </w:t>
      </w:r>
      <w:r w:rsidR="00A70F1D">
        <w:rPr>
          <w:rFonts w:ascii="Times New Roman" w:eastAsia="標楷體" w:hAnsi="Times New Roman" w:cs="Times New Roman"/>
          <w:szCs w:val="24"/>
        </w:rPr>
        <w:t xml:space="preserve">MOEA launched </w:t>
      </w:r>
      <w:r w:rsidRPr="00885A57">
        <w:rPr>
          <w:rFonts w:ascii="Times New Roman" w:eastAsia="標楷體" w:hAnsi="Times New Roman" w:cs="Times New Roman"/>
          <w:szCs w:val="24"/>
        </w:rPr>
        <w:t xml:space="preserve">the Conventional Industry Technology Development Project to subsidize the introduction of new technology and design aesthetics for businesses in traditional industries, enabling them to develop new </w:t>
      </w:r>
      <w:r w:rsidR="008F00C4">
        <w:rPr>
          <w:rFonts w:ascii="Times New Roman" w:eastAsia="標楷體" w:hAnsi="Times New Roman" w:cs="Times New Roman"/>
          <w:szCs w:val="24"/>
        </w:rPr>
        <w:t xml:space="preserve">marketable </w:t>
      </w:r>
      <w:r w:rsidRPr="00885A57">
        <w:rPr>
          <w:rFonts w:ascii="Times New Roman" w:eastAsia="標楷體" w:hAnsi="Times New Roman" w:cs="Times New Roman"/>
          <w:szCs w:val="24"/>
        </w:rPr>
        <w:t xml:space="preserve">products. Between 2016 and 2019, 17 such businesses received subsidies to develop advanced assistive technologies (most of which were developed </w:t>
      </w:r>
      <w:r w:rsidR="008F00C4">
        <w:rPr>
          <w:rFonts w:ascii="Times New Roman" w:eastAsia="標楷體" w:hAnsi="Times New Roman" w:cs="Times New Roman"/>
          <w:szCs w:val="24"/>
        </w:rPr>
        <w:t xml:space="preserve">with </w:t>
      </w:r>
      <w:r w:rsidRPr="00885A57">
        <w:rPr>
          <w:rFonts w:ascii="Times New Roman" w:eastAsia="標楷體" w:hAnsi="Times New Roman" w:cs="Times New Roman"/>
          <w:szCs w:val="24"/>
        </w:rPr>
        <w:t xml:space="preserve">ergonomic and rehabilitation </w:t>
      </w:r>
      <w:r w:rsidR="008F00C4">
        <w:rPr>
          <w:rFonts w:ascii="Times New Roman" w:eastAsia="標楷體" w:hAnsi="Times New Roman" w:cs="Times New Roman"/>
          <w:szCs w:val="24"/>
        </w:rPr>
        <w:t>features emphasized</w:t>
      </w:r>
      <w:r w:rsidRPr="00885A57">
        <w:rPr>
          <w:rFonts w:ascii="Times New Roman" w:eastAsia="標楷體" w:hAnsi="Times New Roman" w:cs="Times New Roman"/>
          <w:szCs w:val="24"/>
        </w:rPr>
        <w:t>, such as wheelchairs and medical beds), the total funding and investment for which reached approximately NT$18.40 million and NT$76.49 million, respectively (Table 20.7). The Funding for Technology Project</w:t>
      </w:r>
      <w:r w:rsidR="008F00C4">
        <w:rPr>
          <w:rFonts w:ascii="Times New Roman" w:eastAsia="標楷體" w:hAnsi="Times New Roman" w:cs="Times New Roman"/>
          <w:szCs w:val="24"/>
        </w:rPr>
        <w:t xml:space="preserve">s program </w:t>
      </w:r>
      <w:r w:rsidRPr="00885A57">
        <w:rPr>
          <w:rFonts w:ascii="Times New Roman" w:eastAsia="標楷體" w:hAnsi="Times New Roman" w:cs="Times New Roman"/>
          <w:szCs w:val="24"/>
        </w:rPr>
        <w:t>assists businesses in the assistive technology industry to research and develop assistive technologies and develop innovative techniques. This program funded 36 assistive technology projects in 2016</w:t>
      </w:r>
      <w:r w:rsidR="008F00C4">
        <w:rPr>
          <w:rFonts w:ascii="Times New Roman" w:eastAsia="標楷體" w:hAnsi="Times New Roman" w:cs="Times New Roman"/>
          <w:szCs w:val="24"/>
        </w:rPr>
        <w:t>-</w:t>
      </w:r>
      <w:r w:rsidRPr="00885A57">
        <w:rPr>
          <w:rFonts w:ascii="Times New Roman" w:eastAsia="標楷體" w:hAnsi="Times New Roman" w:cs="Times New Roman"/>
          <w:szCs w:val="24"/>
        </w:rPr>
        <w:t>2019 (e.g., stairlift</w:t>
      </w:r>
      <w:r w:rsidR="008F00C4">
        <w:rPr>
          <w:rFonts w:ascii="Times New Roman" w:eastAsia="標楷體" w:hAnsi="Times New Roman" w:cs="Times New Roman"/>
          <w:szCs w:val="24"/>
        </w:rPr>
        <w:t>s</w:t>
      </w:r>
      <w:r w:rsidRPr="00885A57">
        <w:rPr>
          <w:rFonts w:ascii="Times New Roman" w:eastAsia="標楷體" w:hAnsi="Times New Roman" w:cs="Times New Roman"/>
          <w:szCs w:val="24"/>
        </w:rPr>
        <w:t xml:space="preserve">, </w:t>
      </w:r>
      <w:r w:rsidR="003F6195">
        <w:rPr>
          <w:rFonts w:ascii="Times New Roman" w:eastAsia="標楷體" w:hAnsi="Times New Roman" w:cs="Times New Roman"/>
          <w:szCs w:val="24"/>
        </w:rPr>
        <w:t xml:space="preserve">safe </w:t>
      </w:r>
      <w:r w:rsidRPr="00885A57">
        <w:rPr>
          <w:rFonts w:ascii="Times New Roman" w:eastAsia="標楷體" w:hAnsi="Times New Roman" w:cs="Times New Roman"/>
          <w:szCs w:val="24"/>
        </w:rPr>
        <w:t>emergency elevator</w:t>
      </w:r>
      <w:r w:rsidR="003F6195">
        <w:rPr>
          <w:rFonts w:ascii="Times New Roman" w:eastAsia="標楷體" w:hAnsi="Times New Roman" w:cs="Times New Roman"/>
          <w:szCs w:val="24"/>
        </w:rPr>
        <w:t>s</w:t>
      </w:r>
      <w:r w:rsidRPr="00885A57">
        <w:rPr>
          <w:rFonts w:ascii="Times New Roman" w:eastAsia="標楷體" w:hAnsi="Times New Roman" w:cs="Times New Roman"/>
          <w:szCs w:val="24"/>
        </w:rPr>
        <w:t>, and breathing detection mask</w:t>
      </w:r>
      <w:r w:rsidR="008F00C4">
        <w:rPr>
          <w:rFonts w:ascii="Times New Roman" w:eastAsia="標楷體" w:hAnsi="Times New Roman" w:cs="Times New Roman"/>
          <w:szCs w:val="24"/>
        </w:rPr>
        <w:t>s</w:t>
      </w:r>
      <w:r w:rsidRPr="00885A57">
        <w:rPr>
          <w:rFonts w:ascii="Times New Roman" w:eastAsia="標楷體" w:hAnsi="Times New Roman" w:cs="Times New Roman"/>
          <w:szCs w:val="24"/>
        </w:rPr>
        <w:t xml:space="preserve">) </w:t>
      </w:r>
      <w:r w:rsidR="008F00C4">
        <w:rPr>
          <w:rFonts w:ascii="Times New Roman" w:eastAsia="標楷體" w:hAnsi="Times New Roman" w:cs="Times New Roman"/>
          <w:szCs w:val="24"/>
        </w:rPr>
        <w:t xml:space="preserve">to a total of </w:t>
      </w:r>
      <w:r w:rsidRPr="00885A57">
        <w:rPr>
          <w:rFonts w:ascii="Times New Roman" w:eastAsia="標楷體" w:hAnsi="Times New Roman" w:cs="Times New Roman"/>
          <w:szCs w:val="24"/>
        </w:rPr>
        <w:t>NT$46.47 million and attracted business investment amounting to approximately NT$75.48 million (Table 20.8).</w:t>
      </w:r>
    </w:p>
    <w:p w14:paraId="3B9D902F" w14:textId="35EF0929" w:rsidR="005C59F5" w:rsidRPr="00F26E25" w:rsidRDefault="007B70BC"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26" w:name="_Ref38307620"/>
      <w:bookmarkStart w:id="127" w:name="_Ref55911217"/>
      <w:r w:rsidRPr="00F26E25">
        <w:rPr>
          <w:rFonts w:ascii="Times New Roman" w:eastAsia="標楷體" w:hAnsi="Times New Roman" w:cs="Times New Roman"/>
          <w:szCs w:val="28"/>
        </w:rPr>
        <w:t xml:space="preserve">From 2004 to 2020, the MOHW announced 1,000 recognition standards for medical devices, including international standards for medical assistive technologies (e.g., the ISO 7176 series of wheelchair standards). The </w:t>
      </w:r>
      <w:r w:rsidR="00A70F1D">
        <w:rPr>
          <w:rFonts w:ascii="Times New Roman" w:eastAsia="標楷體" w:hAnsi="Times New Roman" w:cs="Times New Roman"/>
          <w:szCs w:val="28"/>
        </w:rPr>
        <w:t>MOEA</w:t>
      </w:r>
      <w:r w:rsidRPr="00F26E25">
        <w:rPr>
          <w:rFonts w:ascii="Times New Roman" w:eastAsia="標楷體" w:hAnsi="Times New Roman" w:cs="Times New Roman"/>
          <w:szCs w:val="28"/>
        </w:rPr>
        <w:t xml:space="preserve"> </w:t>
      </w:r>
      <w:r w:rsidRPr="00F26E25">
        <w:rPr>
          <w:rFonts w:ascii="Times New Roman" w:eastAsia="標楷體" w:hAnsi="Times New Roman" w:cs="Times New Roman"/>
          <w:szCs w:val="28"/>
        </w:rPr>
        <w:lastRenderedPageBreak/>
        <w:t>amended 119 national standards concerning disabili</w:t>
      </w:r>
      <w:r w:rsidRPr="00963B6C">
        <w:rPr>
          <w:rFonts w:ascii="Times New Roman" w:eastAsia="標楷體" w:hAnsi="Times New Roman" w:cs="Times New Roman"/>
          <w:szCs w:val="28"/>
        </w:rPr>
        <w:t xml:space="preserve">ty </w:t>
      </w:r>
      <w:r w:rsidR="00034859" w:rsidRPr="00963B6C">
        <w:rPr>
          <w:rFonts w:ascii="Times New Roman" w:eastAsia="標楷體" w:hAnsi="Times New Roman" w:cs="Times New Roman"/>
          <w:szCs w:val="28"/>
        </w:rPr>
        <w:t>assistive technologies</w:t>
      </w:r>
      <w:r w:rsidRPr="00963B6C">
        <w:rPr>
          <w:rFonts w:ascii="Times New Roman" w:eastAsia="標楷體" w:hAnsi="Times New Roman" w:cs="Times New Roman"/>
          <w:szCs w:val="28"/>
        </w:rPr>
        <w:t xml:space="preserve"> and accessibility </w:t>
      </w:r>
      <w:r w:rsidR="00F26E25">
        <w:rPr>
          <w:rFonts w:ascii="Times New Roman" w:eastAsia="標楷體" w:hAnsi="Times New Roman" w:cs="Times New Roman"/>
          <w:szCs w:val="28"/>
        </w:rPr>
        <w:t xml:space="preserve">from </w:t>
      </w:r>
      <w:r w:rsidRPr="00F26E25">
        <w:rPr>
          <w:rFonts w:ascii="Times New Roman" w:eastAsia="標楷體" w:hAnsi="Times New Roman" w:cs="Times New Roman"/>
          <w:szCs w:val="28"/>
        </w:rPr>
        <w:t>2015</w:t>
      </w:r>
      <w:r w:rsidR="00F26E25">
        <w:rPr>
          <w:rFonts w:ascii="Times New Roman" w:eastAsia="標楷體" w:hAnsi="Times New Roman" w:cs="Times New Roman"/>
          <w:szCs w:val="28"/>
        </w:rPr>
        <w:t xml:space="preserve"> to </w:t>
      </w:r>
      <w:r w:rsidRPr="00F26E25">
        <w:rPr>
          <w:rFonts w:ascii="Times New Roman" w:eastAsia="標楷體" w:hAnsi="Times New Roman" w:cs="Times New Roman"/>
          <w:szCs w:val="28"/>
        </w:rPr>
        <w:t xml:space="preserve">2018, </w:t>
      </w:r>
      <w:r w:rsidR="00F26E25">
        <w:rPr>
          <w:rFonts w:ascii="Times New Roman" w:eastAsia="標楷體" w:hAnsi="Times New Roman" w:cs="Times New Roman"/>
          <w:szCs w:val="28"/>
        </w:rPr>
        <w:t xml:space="preserve">including </w:t>
      </w:r>
      <w:r w:rsidRPr="00F26E25">
        <w:rPr>
          <w:rFonts w:ascii="Times New Roman" w:eastAsia="標楷體" w:hAnsi="Times New Roman" w:cs="Times New Roman"/>
          <w:szCs w:val="28"/>
        </w:rPr>
        <w:t xml:space="preserve">72 assistive technology standards (31, 9, 14, and 18 </w:t>
      </w:r>
      <w:r w:rsidR="00F26E25">
        <w:rPr>
          <w:rFonts w:ascii="Times New Roman" w:eastAsia="標楷體" w:hAnsi="Times New Roman" w:cs="Times New Roman"/>
          <w:szCs w:val="28"/>
        </w:rPr>
        <w:t xml:space="preserve">standards </w:t>
      </w:r>
      <w:r w:rsidRPr="00F26E25">
        <w:rPr>
          <w:rFonts w:ascii="Times New Roman" w:eastAsia="標楷體" w:hAnsi="Times New Roman" w:cs="Times New Roman"/>
          <w:szCs w:val="28"/>
        </w:rPr>
        <w:t>were related to wheelchairs, canes and walkers, prosthetics and orthotics, and other assistive product</w:t>
      </w:r>
      <w:r w:rsidR="00F26E25">
        <w:rPr>
          <w:rFonts w:ascii="Times New Roman" w:eastAsia="標楷體" w:hAnsi="Times New Roman" w:cs="Times New Roman"/>
          <w:szCs w:val="28"/>
        </w:rPr>
        <w:t>s</w:t>
      </w:r>
      <w:r w:rsidRPr="00F26E25">
        <w:rPr>
          <w:rFonts w:ascii="Times New Roman" w:eastAsia="標楷體" w:hAnsi="Times New Roman" w:cs="Times New Roman"/>
          <w:szCs w:val="28"/>
        </w:rPr>
        <w:t xml:space="preserve"> for people with disabilities, respectively), 42 accessibility design standards (including 15 </w:t>
      </w:r>
      <w:r w:rsidR="00F26E25">
        <w:rPr>
          <w:rFonts w:ascii="Times New Roman" w:eastAsia="標楷體" w:hAnsi="Times New Roman" w:cs="Times New Roman"/>
          <w:szCs w:val="28"/>
        </w:rPr>
        <w:t xml:space="preserve">on </w:t>
      </w:r>
      <w:r w:rsidRPr="00F26E25">
        <w:rPr>
          <w:rFonts w:ascii="Times New Roman" w:eastAsia="標楷體" w:hAnsi="Times New Roman" w:cs="Times New Roman"/>
          <w:szCs w:val="28"/>
        </w:rPr>
        <w:t>accessible information and communication technologies), and five accessible equipment standards</w:t>
      </w:r>
      <w:r w:rsidR="00F26E25">
        <w:rPr>
          <w:rFonts w:ascii="Times New Roman" w:eastAsia="標楷體" w:hAnsi="Times New Roman" w:cs="Times New Roman"/>
          <w:szCs w:val="28"/>
        </w:rPr>
        <w:t>.</w:t>
      </w:r>
      <w:r w:rsidR="00F26E25" w:rsidRPr="00F26E25">
        <w:rPr>
          <w:rFonts w:ascii="Times New Roman" w:eastAsia="標楷體" w:hAnsi="Times New Roman" w:cs="Times New Roman"/>
          <w:szCs w:val="28"/>
        </w:rPr>
        <w:t xml:space="preserve"> </w:t>
      </w:r>
      <w:r w:rsidR="00F26E25">
        <w:rPr>
          <w:rFonts w:ascii="Times New Roman" w:eastAsia="標楷體" w:hAnsi="Times New Roman" w:cs="Times New Roman"/>
          <w:szCs w:val="28"/>
        </w:rPr>
        <w:t>T</w:t>
      </w:r>
      <w:r w:rsidR="00F26E25" w:rsidRPr="00F26E25">
        <w:rPr>
          <w:rFonts w:ascii="Times New Roman" w:eastAsia="標楷體" w:hAnsi="Times New Roman" w:cs="Times New Roman"/>
          <w:szCs w:val="28"/>
        </w:rPr>
        <w:t xml:space="preserve">he </w:t>
      </w:r>
      <w:r w:rsidRPr="00F26E25">
        <w:rPr>
          <w:rFonts w:ascii="Times New Roman" w:eastAsia="標楷體" w:hAnsi="Times New Roman" w:cs="Times New Roman"/>
          <w:szCs w:val="28"/>
        </w:rPr>
        <w:t>ministry plans to continue amending relevant standards.</w:t>
      </w:r>
      <w:bookmarkEnd w:id="126"/>
      <w:bookmarkEnd w:id="127"/>
      <w:r w:rsidRPr="00F26E25">
        <w:rPr>
          <w:rStyle w:val="ab"/>
          <w:rFonts w:ascii="Times New Roman" w:eastAsia="標楷體" w:hAnsi="Times New Roman" w:cs="Times New Roman"/>
        </w:rPr>
        <w:footnoteReference w:id="79"/>
      </w:r>
    </w:p>
    <w:p w14:paraId="26B13FEE" w14:textId="4BB5B855" w:rsidR="001820E1" w:rsidRPr="00885A57" w:rsidRDefault="007B70BC" w:rsidP="001A2139">
      <w:pPr>
        <w:spacing w:after="120" w:line="360" w:lineRule="auto"/>
        <w:rPr>
          <w:rFonts w:ascii="Times New Roman" w:eastAsia="標楷體" w:hAnsi="Times New Roman" w:cs="Times New Roman"/>
          <w:szCs w:val="28"/>
        </w:rPr>
      </w:pPr>
      <w:r w:rsidRPr="00885A57">
        <w:rPr>
          <w:rFonts w:ascii="Times New Roman" w:eastAsia="標楷體" w:hAnsi="Times New Roman" w:cs="Times New Roman"/>
          <w:szCs w:val="24"/>
        </w:rPr>
        <w:t xml:space="preserve">C.  The right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to drive vehicles</w:t>
      </w:r>
    </w:p>
    <w:p w14:paraId="6A0CA887" w14:textId="4A8A8C1D" w:rsidR="00580C4B" w:rsidRPr="00885A57" w:rsidRDefault="007B70BC"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28" w:name="_Ref55911286"/>
      <w:r w:rsidRPr="00885A57">
        <w:rPr>
          <w:rFonts w:ascii="Times New Roman" w:eastAsia="標楷體" w:hAnsi="Times New Roman" w:cs="Times New Roman"/>
          <w:szCs w:val="24"/>
        </w:rPr>
        <w:t xml:space="preserve">Taiwan attaches great importance to the right of people with disabilities to drive vehicles. People with innate or acquired disabilities are permitted to attend driving tests using vehicles with suitable modifications. Therefore, the </w:t>
      </w:r>
      <w:r w:rsidRPr="002153DE">
        <w:rPr>
          <w:rFonts w:ascii="Times New Roman" w:eastAsia="標楷體" w:hAnsi="Times New Roman" w:cs="Times New Roman"/>
          <w:iCs/>
          <w:szCs w:val="24"/>
        </w:rPr>
        <w:t>Disposal Directions for Obtaining Car and Motorcycle Driving Licenses for People with Disabilities</w:t>
      </w:r>
      <w:r w:rsidRPr="00885A57">
        <w:rPr>
          <w:rFonts w:ascii="Times New Roman" w:eastAsia="標楷體" w:hAnsi="Times New Roman" w:cs="Times New Roman"/>
          <w:szCs w:val="24"/>
        </w:rPr>
        <w:t xml:space="preserve"> were developed to fulfill </w:t>
      </w:r>
      <w:r w:rsidR="00F26E25">
        <w:rPr>
          <w:rFonts w:ascii="Times New Roman" w:eastAsia="標楷體" w:hAnsi="Times New Roman" w:cs="Times New Roman"/>
          <w:szCs w:val="24"/>
        </w:rPr>
        <w:t>related</w:t>
      </w:r>
      <w:r w:rsidR="00F26E25"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needs.</w:t>
      </w:r>
      <w:r w:rsidR="00973F3D" w:rsidRPr="00885A57">
        <w:rPr>
          <w:rStyle w:val="ab"/>
          <w:rFonts w:ascii="Times New Roman" w:eastAsia="標楷體" w:hAnsi="Times New Roman" w:cs="Times New Roman"/>
          <w:szCs w:val="24"/>
        </w:rPr>
        <w:footnoteReference w:id="80"/>
      </w:r>
      <w:bookmarkEnd w:id="128"/>
    </w:p>
    <w:p w14:paraId="6F22A469" w14:textId="69E13197" w:rsidR="000F6AB5" w:rsidRPr="00885A57" w:rsidRDefault="007B70BC"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29" w:name="_Ref55911294"/>
      <w:r w:rsidRPr="00885A57">
        <w:rPr>
          <w:rFonts w:ascii="Times New Roman" w:eastAsia="標楷體" w:hAnsi="Times New Roman" w:cs="Times New Roman"/>
          <w:szCs w:val="24"/>
        </w:rPr>
        <w:t>Concerning driving license issuance for patients with epilepsy, relevant regulations strive to balance human rights protection and road safety, and have adopted major</w:t>
      </w:r>
      <w:r w:rsidRPr="00885A57">
        <w:rPr>
          <w:rFonts w:ascii="Times New Roman" w:hAnsi="Times New Roman" w:cs="Times New Roman"/>
          <w:szCs w:val="24"/>
        </w:rPr>
        <w:t xml:space="preserve"> </w:t>
      </w:r>
      <w:r w:rsidRPr="00885A57">
        <w:rPr>
          <w:rFonts w:ascii="Times New Roman" w:eastAsia="標楷體" w:hAnsi="Times New Roman" w:cs="Times New Roman"/>
          <w:szCs w:val="24"/>
        </w:rPr>
        <w:t xml:space="preserve">revolution in driving license management in Taiwan. The MOTC commissioned the Taiwan Epilepsy Society to collect relevant data from advanced countries and investigate general solutions to handle driving licenses for patients with epilepsy. The ministry invited medical experts, people with disabilities, their representative organizations, and relevant authorities to three </w:t>
      </w:r>
      <w:r w:rsidRPr="00885A57">
        <w:rPr>
          <w:rFonts w:ascii="Times New Roman" w:eastAsia="標楷體" w:hAnsi="Times New Roman" w:cs="Times New Roman"/>
          <w:szCs w:val="24"/>
        </w:rPr>
        <w:lastRenderedPageBreak/>
        <w:t xml:space="preserve">joint discussions between 2017 and 2019, during which attendees agreed that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epilepsy who have not experienced an epileptic attack within the preceding two years should be entitled to apply for </w:t>
      </w:r>
      <w:r w:rsidR="00F26E25">
        <w:rPr>
          <w:rFonts w:ascii="Times New Roman" w:eastAsia="標楷體" w:hAnsi="Times New Roman" w:cs="Times New Roman"/>
          <w:szCs w:val="24"/>
        </w:rPr>
        <w:t xml:space="preserve">a driver’s </w:t>
      </w:r>
      <w:r w:rsidRPr="00885A57">
        <w:rPr>
          <w:rFonts w:ascii="Times New Roman" w:eastAsia="標楷體" w:hAnsi="Times New Roman" w:cs="Times New Roman"/>
          <w:szCs w:val="24"/>
        </w:rPr>
        <w:t xml:space="preserve">license. This decision to loosen restrictions on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meeting this condition was later approved by the Driver Medical Advisory Committee of the MOTC in 2019, after which the MOTC announced an amendment to the existing regulations in September 2020</w:t>
      </w:r>
      <w:bookmarkEnd w:id="129"/>
      <w:r w:rsidRPr="00885A57">
        <w:rPr>
          <w:rFonts w:ascii="Times New Roman" w:eastAsia="標楷體" w:hAnsi="Times New Roman" w:cs="Times New Roman"/>
          <w:szCs w:val="24"/>
        </w:rPr>
        <w:t>.</w:t>
      </w:r>
    </w:p>
    <w:p w14:paraId="42407E98" w14:textId="04E6BE8A" w:rsidR="0018579B" w:rsidRPr="00885A57" w:rsidRDefault="00E571AF" w:rsidP="00C50226">
      <w:pPr>
        <w:pStyle w:val="10"/>
        <w:spacing w:after="120" w:line="360" w:lineRule="auto"/>
        <w:rPr>
          <w:rFonts w:ascii="Times New Roman" w:hAnsi="Times New Roman"/>
        </w:rPr>
      </w:pPr>
      <w:bookmarkStart w:id="130" w:name="_Toc73108690"/>
      <w:r w:rsidRPr="00885A57">
        <w:rPr>
          <w:rFonts w:ascii="Times New Roman" w:hAnsi="Times New Roman"/>
        </w:rPr>
        <w:t>Article 21</w:t>
      </w:r>
      <w:bookmarkStart w:id="131" w:name="_Toc55900598"/>
      <w:r w:rsidR="00B645D5" w:rsidRPr="00885A57">
        <w:rPr>
          <w:rFonts w:ascii="Times New Roman" w:hAnsi="Times New Roman"/>
        </w:rPr>
        <w:t xml:space="preserve">: </w:t>
      </w:r>
      <w:r w:rsidRPr="00885A57">
        <w:rPr>
          <w:rFonts w:ascii="Times New Roman" w:hAnsi="Times New Roman"/>
        </w:rPr>
        <w:t>Freedom of expression and opinion and access to information</w:t>
      </w:r>
      <w:bookmarkEnd w:id="130"/>
      <w:bookmarkEnd w:id="131"/>
    </w:p>
    <w:p w14:paraId="6558B311" w14:textId="365FD06B" w:rsidR="00F45A20" w:rsidRPr="00885A57" w:rsidRDefault="007B70BC" w:rsidP="001A2139">
      <w:pPr>
        <w:pStyle w:val="a7"/>
        <w:numPr>
          <w:ilvl w:val="0"/>
          <w:numId w:val="45"/>
        </w:numPr>
        <w:spacing w:after="120" w:line="360" w:lineRule="auto"/>
        <w:ind w:leftChars="0" w:left="567" w:hanging="567"/>
        <w:jc w:val="both"/>
        <w:rPr>
          <w:rFonts w:ascii="Times New Roman" w:eastAsia="標楷體" w:hAnsi="Times New Roman" w:cs="Times New Roman"/>
          <w:szCs w:val="28"/>
        </w:rPr>
      </w:pPr>
      <w:r w:rsidRPr="00885A57">
        <w:rPr>
          <w:rFonts w:ascii="Times New Roman" w:eastAsia="標楷體" w:hAnsi="Times New Roman" w:cs="Times New Roman"/>
          <w:szCs w:val="24"/>
        </w:rPr>
        <w:t xml:space="preserve">For the information access requirements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please refer to Article 9</w:t>
      </w:r>
      <w:r w:rsidRPr="00885A57">
        <w:rPr>
          <w:rFonts w:ascii="Times New Roman" w:eastAsia="標楷體" w:hAnsi="Times New Roman" w:cs="Times New Roman"/>
          <w:szCs w:val="24"/>
        </w:rPr>
        <w:softHyphen/>
      </w:r>
      <w:r w:rsidR="00963B6C">
        <w:rPr>
          <w:rFonts w:ascii="Times New Roman" w:eastAsia="標楷體" w:hAnsi="Times New Roman" w:cs="Times New Roman"/>
          <w:szCs w:val="24"/>
        </w:rPr>
        <w:t>:</w:t>
      </w:r>
      <w:r w:rsidR="00A70F1D">
        <w:rPr>
          <w:rFonts w:ascii="Times New Roman" w:eastAsia="標楷體" w:hAnsi="Times New Roman" w:cs="Times New Roman"/>
          <w:szCs w:val="24"/>
        </w:rPr>
        <w:t xml:space="preserve"> </w:t>
      </w:r>
      <w:r w:rsidRPr="00885A57">
        <w:rPr>
          <w:rFonts w:ascii="Times New Roman" w:eastAsia="標楷體" w:hAnsi="Times New Roman" w:cs="Times New Roman"/>
          <w:szCs w:val="24"/>
        </w:rPr>
        <w:t>Accessibility (Points 79</w:t>
      </w:r>
      <w:r w:rsidR="00963B6C">
        <w:rPr>
          <w:rFonts w:ascii="Times New Roman" w:eastAsia="標楷體" w:hAnsi="Times New Roman" w:cs="Times New Roman"/>
          <w:szCs w:val="24"/>
        </w:rPr>
        <w:t>-</w:t>
      </w:r>
      <w:r w:rsidRPr="00885A57">
        <w:rPr>
          <w:rFonts w:ascii="Times New Roman" w:eastAsia="標楷體" w:hAnsi="Times New Roman" w:cs="Times New Roman"/>
          <w:szCs w:val="24"/>
        </w:rPr>
        <w:fldChar w:fldCharType="begin"/>
      </w:r>
      <w:r w:rsidRPr="00885A57">
        <w:rPr>
          <w:rFonts w:ascii="Times New Roman" w:eastAsia="標楷體" w:hAnsi="Times New Roman" w:cs="Times New Roman"/>
          <w:szCs w:val="24"/>
        </w:rPr>
        <w:instrText xml:space="preserve"> REF _Ref47423647 \r \h  \* MERGEFORMAT </w:instrText>
      </w:r>
      <w:r w:rsidRPr="00885A57">
        <w:rPr>
          <w:rFonts w:ascii="Times New Roman" w:eastAsia="標楷體" w:hAnsi="Times New Roman" w:cs="Times New Roman"/>
          <w:szCs w:val="24"/>
        </w:rPr>
      </w:r>
      <w:r w:rsidRPr="00885A57">
        <w:rPr>
          <w:rFonts w:ascii="Times New Roman" w:eastAsia="標楷體" w:hAnsi="Times New Roman" w:cs="Times New Roman"/>
          <w:szCs w:val="24"/>
        </w:rPr>
        <w:fldChar w:fldCharType="separate"/>
      </w:r>
      <w:r w:rsidR="00F00A73">
        <w:rPr>
          <w:rFonts w:ascii="Times New Roman" w:eastAsia="標楷體" w:hAnsi="Times New Roman" w:cs="Times New Roman"/>
          <w:szCs w:val="24"/>
        </w:rPr>
        <w:t>82</w:t>
      </w:r>
      <w:r w:rsidRPr="00885A57">
        <w:rPr>
          <w:rFonts w:ascii="Times New Roman" w:eastAsia="標楷體" w:hAnsi="Times New Roman" w:cs="Times New Roman"/>
          <w:szCs w:val="24"/>
        </w:rPr>
        <w:fldChar w:fldCharType="end"/>
      </w:r>
      <w:r w:rsidRPr="00885A57">
        <w:rPr>
          <w:rFonts w:ascii="Times New Roman" w:eastAsia="標楷體" w:hAnsi="Times New Roman" w:cs="Times New Roman"/>
          <w:szCs w:val="24"/>
        </w:rPr>
        <w:t>) and Article 30</w:t>
      </w:r>
      <w:r w:rsidR="00963B6C">
        <w:rPr>
          <w:rFonts w:ascii="Times New Roman" w:eastAsia="標楷體" w:hAnsi="Times New Roman" w:cs="Times New Roman"/>
          <w:szCs w:val="24"/>
        </w:rPr>
        <w:t xml:space="preserve">: </w:t>
      </w:r>
      <w:r w:rsidRPr="00885A57">
        <w:rPr>
          <w:rFonts w:ascii="Times New Roman" w:eastAsia="標楷體" w:hAnsi="Times New Roman" w:cs="Times New Roman"/>
          <w:szCs w:val="24"/>
        </w:rPr>
        <w:t>Participation in cultural life, recreation, leisure, and sport (Points</w:t>
      </w:r>
      <w:r w:rsidR="00551150" w:rsidRPr="00885A57">
        <w:rPr>
          <w:rFonts w:ascii="Times New Roman" w:eastAsia="標楷體" w:hAnsi="Times New Roman" w:cs="Times New Roman"/>
          <w:szCs w:val="24"/>
        </w:rPr>
        <w:t xml:space="preserve"> 272 </w:t>
      </w:r>
      <w:r w:rsidRPr="00885A57">
        <w:rPr>
          <w:rFonts w:ascii="Times New Roman" w:eastAsia="標楷體" w:hAnsi="Times New Roman" w:cs="Times New Roman"/>
          <w:szCs w:val="24"/>
        </w:rPr>
        <w:t xml:space="preserve">and </w:t>
      </w:r>
      <w:r w:rsidRPr="00885A57">
        <w:rPr>
          <w:rFonts w:ascii="Times New Roman" w:eastAsia="標楷體" w:hAnsi="Times New Roman" w:cs="Times New Roman"/>
          <w:szCs w:val="24"/>
        </w:rPr>
        <w:fldChar w:fldCharType="begin"/>
      </w:r>
      <w:r w:rsidRPr="00885A57">
        <w:rPr>
          <w:rFonts w:ascii="Times New Roman" w:eastAsia="標楷體" w:hAnsi="Times New Roman" w:cs="Times New Roman"/>
          <w:szCs w:val="24"/>
        </w:rPr>
        <w:instrText xml:space="preserve"> REF _Ref47423676 \r \h  \* MERGEFORMAT </w:instrText>
      </w:r>
      <w:r w:rsidRPr="00885A57">
        <w:rPr>
          <w:rFonts w:ascii="Times New Roman" w:eastAsia="標楷體" w:hAnsi="Times New Roman" w:cs="Times New Roman"/>
          <w:szCs w:val="24"/>
        </w:rPr>
      </w:r>
      <w:r w:rsidRPr="00885A57">
        <w:rPr>
          <w:rFonts w:ascii="Times New Roman" w:eastAsia="標楷體" w:hAnsi="Times New Roman" w:cs="Times New Roman"/>
          <w:szCs w:val="24"/>
        </w:rPr>
        <w:fldChar w:fldCharType="separate"/>
      </w:r>
      <w:r w:rsidR="00F00A73">
        <w:rPr>
          <w:rFonts w:ascii="Times New Roman" w:eastAsia="標楷體" w:hAnsi="Times New Roman" w:cs="Times New Roman"/>
          <w:szCs w:val="24"/>
        </w:rPr>
        <w:t>273</w:t>
      </w:r>
      <w:r w:rsidRPr="00885A57">
        <w:rPr>
          <w:rFonts w:ascii="Times New Roman" w:eastAsia="標楷體" w:hAnsi="Times New Roman" w:cs="Times New Roman"/>
          <w:szCs w:val="24"/>
        </w:rPr>
        <w:fldChar w:fldCharType="end"/>
      </w:r>
      <w:r w:rsidRPr="00885A57">
        <w:rPr>
          <w:rFonts w:ascii="Times New Roman" w:eastAsia="標楷體" w:hAnsi="Times New Roman" w:cs="Times New Roman"/>
          <w:szCs w:val="24"/>
        </w:rPr>
        <w:t xml:space="preserve">). For disaster information broadcasting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please refer to Article 11</w:t>
      </w:r>
      <w:r w:rsidR="00963B6C">
        <w:rPr>
          <w:rFonts w:ascii="Times New Roman" w:eastAsia="標楷體" w:hAnsi="Times New Roman" w:cs="Times New Roman"/>
          <w:szCs w:val="24"/>
        </w:rPr>
        <w:t xml:space="preserve">: </w:t>
      </w:r>
      <w:r w:rsidRPr="00885A57">
        <w:rPr>
          <w:rFonts w:ascii="Times New Roman" w:eastAsia="標楷體" w:hAnsi="Times New Roman" w:cs="Times New Roman"/>
          <w:szCs w:val="24"/>
        </w:rPr>
        <w:t>Situations of risk and humanitarian emergencies.</w:t>
      </w:r>
    </w:p>
    <w:p w14:paraId="16DA7F00" w14:textId="14CB72B7" w:rsidR="005C59F5" w:rsidRPr="00885A57" w:rsidRDefault="007B70BC" w:rsidP="001A2139">
      <w:pPr>
        <w:spacing w:after="120" w:line="360" w:lineRule="auto"/>
        <w:rPr>
          <w:rFonts w:ascii="Times New Roman" w:eastAsia="標楷體" w:hAnsi="Times New Roman" w:cs="Times New Roman"/>
          <w:szCs w:val="28"/>
        </w:rPr>
      </w:pPr>
      <w:r w:rsidRPr="00885A57">
        <w:rPr>
          <w:rFonts w:ascii="Times New Roman" w:eastAsia="標楷體" w:hAnsi="Times New Roman" w:cs="Times New Roman"/>
          <w:szCs w:val="24"/>
        </w:rPr>
        <w:t xml:space="preserve">A.  </w:t>
      </w:r>
      <w:r w:rsidR="00EF7B5E" w:rsidRPr="00885A57">
        <w:rPr>
          <w:rFonts w:ascii="Times New Roman" w:eastAsia="標楷體" w:hAnsi="Times New Roman" w:cs="Times New Roman"/>
          <w:szCs w:val="24"/>
        </w:rPr>
        <w:t xml:space="preserve">Promotion and interpreting </w:t>
      </w:r>
      <w:r w:rsidR="00963B6C">
        <w:rPr>
          <w:rFonts w:ascii="Times New Roman" w:eastAsia="標楷體" w:hAnsi="Times New Roman" w:cs="Times New Roman"/>
          <w:szCs w:val="24"/>
        </w:rPr>
        <w:t xml:space="preserve">in </w:t>
      </w:r>
      <w:r w:rsidR="00EF7B5E" w:rsidRPr="00885A57">
        <w:rPr>
          <w:rFonts w:ascii="Times New Roman" w:eastAsia="標楷體" w:hAnsi="Times New Roman" w:cs="Times New Roman"/>
          <w:szCs w:val="24"/>
        </w:rPr>
        <w:t>Taiwan Sign Language</w:t>
      </w:r>
    </w:p>
    <w:p w14:paraId="55CF5EC6" w14:textId="0EA967E9" w:rsidR="00AF7363" w:rsidRPr="00885A57" w:rsidRDefault="00EF7B5E" w:rsidP="00C50226">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32" w:name="_Ref52269124"/>
      <w:r w:rsidRPr="00885A57">
        <w:rPr>
          <w:rFonts w:ascii="Times New Roman" w:eastAsia="標楷體" w:hAnsi="Times New Roman" w:cs="Times New Roman"/>
          <w:szCs w:val="24"/>
        </w:rPr>
        <w:t xml:space="preserve">Taiwan enacted the </w:t>
      </w:r>
      <w:r w:rsidRPr="002153DE">
        <w:rPr>
          <w:rFonts w:ascii="Times New Roman" w:eastAsia="標楷體" w:hAnsi="Times New Roman" w:cs="Times New Roman"/>
          <w:iCs/>
          <w:szCs w:val="24"/>
        </w:rPr>
        <w:t>Development of National Languages Act</w:t>
      </w:r>
      <w:r w:rsidRPr="00885A57">
        <w:rPr>
          <w:rFonts w:ascii="Times New Roman" w:eastAsia="標楷體" w:hAnsi="Times New Roman" w:cs="Times New Roman"/>
          <w:szCs w:val="24"/>
        </w:rPr>
        <w:t xml:space="preserve"> in January 2019, designating Taiwan Sign Language a national language. The MOE created the Project Team for Promoting Taiwan Sign Language Instruction in 2018; the team had 14 members and was composed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and their representative organizations, scholars,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hearing impairment, representatives of schools for the hearing impaired, and members of the MOE</w:t>
      </w:r>
      <w:r w:rsidR="00963B6C">
        <w:rPr>
          <w:rFonts w:ascii="Times New Roman" w:eastAsia="標楷體" w:hAnsi="Times New Roman" w:cs="Times New Roman"/>
          <w:szCs w:val="24"/>
        </w:rPr>
        <w:t xml:space="preserve"> and </w:t>
      </w:r>
      <w:r w:rsidRPr="00885A57">
        <w:rPr>
          <w:rFonts w:ascii="Times New Roman" w:eastAsia="標楷體" w:hAnsi="Times New Roman" w:cs="Times New Roman"/>
          <w:szCs w:val="24"/>
        </w:rPr>
        <w:t xml:space="preserve">related education administrations, among whom seven were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w:t>
      </w:r>
      <w:r w:rsidR="00963B6C">
        <w:rPr>
          <w:rFonts w:ascii="Times New Roman" w:eastAsia="標楷體" w:hAnsi="Times New Roman" w:cs="Times New Roman"/>
          <w:szCs w:val="24"/>
        </w:rPr>
        <w:t xml:space="preserve">a </w:t>
      </w:r>
      <w:r w:rsidRPr="00885A57">
        <w:rPr>
          <w:rFonts w:ascii="Times New Roman" w:eastAsia="標楷體" w:hAnsi="Times New Roman" w:cs="Times New Roman"/>
          <w:szCs w:val="24"/>
        </w:rPr>
        <w:t>hear</w:t>
      </w:r>
      <w:r w:rsidR="009E2E74">
        <w:rPr>
          <w:rFonts w:ascii="Times New Roman" w:eastAsia="標楷體" w:hAnsi="Times New Roman" w:cs="Times New Roman"/>
          <w:szCs w:val="24"/>
        </w:rPr>
        <w:t xml:space="preserve">ing impairment (including four </w:t>
      </w:r>
      <w:r w:rsidR="00963B6C">
        <w:rPr>
          <w:rFonts w:ascii="Times New Roman" w:eastAsia="標楷體" w:hAnsi="Times New Roman" w:cs="Times New Roman"/>
          <w:szCs w:val="24"/>
        </w:rPr>
        <w:t>d</w:t>
      </w:r>
      <w:r w:rsidRPr="00885A57">
        <w:rPr>
          <w:rFonts w:ascii="Times New Roman" w:eastAsia="標楷體" w:hAnsi="Times New Roman" w:cs="Times New Roman"/>
          <w:szCs w:val="24"/>
        </w:rPr>
        <w:t xml:space="preserve">eaf people). The team members jointly discussed topics regarding Taiwan Sign Language instruction, such as the </w:t>
      </w:r>
      <w:r w:rsidRPr="00885A57">
        <w:rPr>
          <w:rFonts w:ascii="Times New Roman" w:eastAsia="標楷體" w:hAnsi="Times New Roman" w:cs="Times New Roman"/>
          <w:szCs w:val="24"/>
        </w:rPr>
        <w:lastRenderedPageBreak/>
        <w:t xml:space="preserve">necessary supply of teachers, the curriculum, and teaching materials. Pursuant to the </w:t>
      </w:r>
      <w:r w:rsidRPr="002153DE">
        <w:rPr>
          <w:rFonts w:ascii="Times New Roman" w:eastAsia="標楷體" w:hAnsi="Times New Roman" w:cs="Times New Roman"/>
          <w:iCs/>
          <w:szCs w:val="24"/>
        </w:rPr>
        <w:t>Development of National Languages Act</w:t>
      </w:r>
      <w:r w:rsidRPr="00885A57">
        <w:rPr>
          <w:rFonts w:ascii="Times New Roman" w:eastAsia="標楷體" w:hAnsi="Times New Roman" w:cs="Times New Roman"/>
          <w:szCs w:val="24"/>
        </w:rPr>
        <w:t xml:space="preserve">, starting from 2022, Taiwan Sign Language will formally be </w:t>
      </w:r>
      <w:r w:rsidR="003F6195">
        <w:rPr>
          <w:rFonts w:ascii="Times New Roman" w:eastAsia="標楷體" w:hAnsi="Times New Roman" w:cs="Times New Roman"/>
          <w:szCs w:val="24"/>
        </w:rPr>
        <w:t>a course mandated by the MOE</w:t>
      </w:r>
      <w:r w:rsidRPr="00885A57">
        <w:rPr>
          <w:rFonts w:ascii="Times New Roman" w:eastAsia="標楷體" w:hAnsi="Times New Roman" w:cs="Times New Roman"/>
          <w:szCs w:val="24"/>
        </w:rPr>
        <w:t xml:space="preserve">. Sign language courses will be offered according to students’ </w:t>
      </w:r>
      <w:r w:rsidR="0041063C">
        <w:rPr>
          <w:rFonts w:ascii="Times New Roman" w:eastAsia="標楷體" w:hAnsi="Times New Roman" w:cs="Times New Roman"/>
          <w:szCs w:val="24"/>
        </w:rPr>
        <w:t xml:space="preserve">needs and can be taken by both the </w:t>
      </w:r>
      <w:r w:rsidR="001873BA">
        <w:rPr>
          <w:rFonts w:ascii="Times New Roman" w:eastAsia="標楷體" w:hAnsi="Times New Roman" w:cs="Times New Roman"/>
          <w:szCs w:val="24"/>
        </w:rPr>
        <w:t>d</w:t>
      </w:r>
      <w:r w:rsidRPr="00885A57">
        <w:rPr>
          <w:rFonts w:ascii="Times New Roman" w:eastAsia="標楷體" w:hAnsi="Times New Roman" w:cs="Times New Roman"/>
          <w:szCs w:val="24"/>
        </w:rPr>
        <w:t xml:space="preserve">eaf and </w:t>
      </w:r>
      <w:r w:rsidR="003F6195">
        <w:rPr>
          <w:rFonts w:ascii="Times New Roman" w:eastAsia="標楷體" w:hAnsi="Times New Roman" w:cs="Times New Roman"/>
          <w:szCs w:val="24"/>
        </w:rPr>
        <w:t xml:space="preserve">hearing </w:t>
      </w:r>
      <w:r w:rsidRPr="00885A57">
        <w:rPr>
          <w:rFonts w:ascii="Times New Roman" w:eastAsia="標楷體" w:hAnsi="Times New Roman" w:cs="Times New Roman"/>
          <w:szCs w:val="24"/>
        </w:rPr>
        <w:t>students; these courses are expected to promote Taiwan Sign Language. If necessary, schools will provide suitable sign language interpreting services for students with hearing impairment. The MOE plans to develop a learning project on Taiwan Sign Language for preschool children (aged 2–6 years)</w:t>
      </w:r>
      <w:r w:rsidRPr="00885A57">
        <w:rPr>
          <w:rFonts w:ascii="Times New Roman" w:eastAsia="標楷體" w:hAnsi="Times New Roman" w:cs="Times New Roman"/>
        </w:rPr>
        <w:t>.</w:t>
      </w:r>
      <w:bookmarkEnd w:id="132"/>
      <w:r w:rsidRPr="00885A57">
        <w:rPr>
          <w:rStyle w:val="ab"/>
          <w:rFonts w:ascii="Times New Roman" w:eastAsia="標楷體" w:hAnsi="Times New Roman" w:cs="Times New Roman"/>
        </w:rPr>
        <w:footnoteReference w:id="81"/>
      </w:r>
    </w:p>
    <w:p w14:paraId="63CDD385" w14:textId="1DD7B2DC" w:rsidR="00245D29" w:rsidRPr="00885A57" w:rsidRDefault="00EF7B5E" w:rsidP="00C50226">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Regarding sign language training and workshops, universities with teacher training programs have incorporated sign language courses into the syllabus of preservice special education teacher training programs; moreover, these universities have </w:t>
      </w:r>
      <w:r w:rsidR="00CE7C67">
        <w:rPr>
          <w:rFonts w:ascii="Times New Roman" w:eastAsia="標楷體" w:hAnsi="Times New Roman" w:cs="Times New Roman"/>
          <w:szCs w:val="24"/>
        </w:rPr>
        <w:t xml:space="preserve">included compulsory </w:t>
      </w:r>
      <w:r w:rsidRPr="00885A57">
        <w:rPr>
          <w:rFonts w:ascii="Times New Roman" w:eastAsia="標楷體" w:hAnsi="Times New Roman" w:cs="Times New Roman"/>
          <w:szCs w:val="24"/>
        </w:rPr>
        <w:t xml:space="preserve">sign language courses </w:t>
      </w:r>
      <w:r w:rsidR="00CE7C67">
        <w:rPr>
          <w:rFonts w:ascii="Times New Roman" w:eastAsia="標楷體" w:hAnsi="Times New Roman" w:cs="Times New Roman"/>
          <w:szCs w:val="24"/>
        </w:rPr>
        <w:t xml:space="preserve">into </w:t>
      </w:r>
      <w:r w:rsidRPr="00885A57">
        <w:rPr>
          <w:rFonts w:ascii="Times New Roman" w:eastAsia="標楷體" w:hAnsi="Times New Roman" w:cs="Times New Roman"/>
          <w:szCs w:val="24"/>
        </w:rPr>
        <w:t xml:space="preserve">the curricular framework of hearing and speech specialty courses </w:t>
      </w:r>
      <w:r w:rsidR="00CE7C67">
        <w:rPr>
          <w:rFonts w:ascii="Times New Roman" w:eastAsia="標楷體" w:hAnsi="Times New Roman" w:cs="Times New Roman"/>
          <w:szCs w:val="24"/>
        </w:rPr>
        <w:t xml:space="preserve">in line with </w:t>
      </w:r>
      <w:r w:rsidRPr="00885A57">
        <w:rPr>
          <w:rFonts w:ascii="Times New Roman" w:eastAsia="標楷體" w:hAnsi="Times New Roman" w:cs="Times New Roman"/>
          <w:szCs w:val="24"/>
        </w:rPr>
        <w:t xml:space="preserve">the </w:t>
      </w:r>
      <w:r w:rsidRPr="002153DE">
        <w:rPr>
          <w:rFonts w:ascii="Times New Roman" w:eastAsia="標楷體" w:hAnsi="Times New Roman" w:cs="Times New Roman"/>
          <w:iCs/>
          <w:szCs w:val="24"/>
        </w:rPr>
        <w:t>Development of National Languages Act</w:t>
      </w:r>
      <w:r w:rsidRPr="00885A57">
        <w:rPr>
          <w:rFonts w:ascii="Times New Roman" w:eastAsia="標楷體" w:hAnsi="Times New Roman" w:cs="Times New Roman"/>
          <w:szCs w:val="24"/>
        </w:rPr>
        <w:t xml:space="preserve">. To train a sufficient supply of qualified teachers of sign language, the government </w:t>
      </w:r>
      <w:r w:rsidR="00CE7C67">
        <w:rPr>
          <w:rFonts w:ascii="Times New Roman" w:eastAsia="標楷體" w:hAnsi="Times New Roman" w:cs="Times New Roman"/>
          <w:szCs w:val="24"/>
        </w:rPr>
        <w:t xml:space="preserve">is training people </w:t>
      </w:r>
      <w:r w:rsidRPr="00885A57">
        <w:rPr>
          <w:rFonts w:ascii="Times New Roman" w:eastAsia="標楷體" w:hAnsi="Times New Roman" w:cs="Times New Roman"/>
          <w:szCs w:val="24"/>
        </w:rPr>
        <w:t xml:space="preserve">in Taiwan Sign </w:t>
      </w:r>
      <w:r w:rsidR="001E38D6">
        <w:rPr>
          <w:rFonts w:ascii="Times New Roman" w:eastAsia="標楷體" w:hAnsi="Times New Roman" w:cs="Times New Roman"/>
          <w:szCs w:val="24"/>
        </w:rPr>
        <w:t xml:space="preserve">Language instruction; </w:t>
      </w:r>
      <w:r w:rsidR="00CE7C67">
        <w:rPr>
          <w:rFonts w:ascii="Times New Roman" w:eastAsia="標楷體" w:hAnsi="Times New Roman" w:cs="Times New Roman"/>
          <w:szCs w:val="24"/>
        </w:rPr>
        <w:t>d</w:t>
      </w:r>
      <w:r w:rsidRPr="00885A57">
        <w:rPr>
          <w:rFonts w:ascii="Times New Roman" w:eastAsia="標楷體" w:hAnsi="Times New Roman" w:cs="Times New Roman"/>
          <w:szCs w:val="24"/>
        </w:rPr>
        <w:t xml:space="preserve">eaf and </w:t>
      </w:r>
      <w:r w:rsidR="003F6195">
        <w:rPr>
          <w:rFonts w:ascii="Times New Roman" w:eastAsia="標楷體" w:hAnsi="Times New Roman" w:cs="Times New Roman"/>
          <w:szCs w:val="24"/>
        </w:rPr>
        <w:t xml:space="preserve">hearing </w:t>
      </w:r>
      <w:r w:rsidRPr="00885A57">
        <w:rPr>
          <w:rFonts w:ascii="Times New Roman" w:eastAsia="標楷體" w:hAnsi="Times New Roman" w:cs="Times New Roman"/>
          <w:szCs w:val="24"/>
        </w:rPr>
        <w:t xml:space="preserve">people </w:t>
      </w:r>
      <w:r w:rsidR="00CE7C67">
        <w:rPr>
          <w:rFonts w:ascii="Times New Roman" w:eastAsia="標楷體" w:hAnsi="Times New Roman" w:cs="Times New Roman"/>
          <w:szCs w:val="24"/>
        </w:rPr>
        <w:t xml:space="preserve">have been </w:t>
      </w:r>
      <w:r w:rsidRPr="00885A57">
        <w:rPr>
          <w:rFonts w:ascii="Times New Roman" w:eastAsia="標楷體" w:hAnsi="Times New Roman" w:cs="Times New Roman"/>
          <w:szCs w:val="24"/>
        </w:rPr>
        <w:t xml:space="preserve">recruited, who then received systemic training and tests. </w:t>
      </w:r>
      <w:r w:rsidR="00CE7C67">
        <w:rPr>
          <w:rFonts w:ascii="Times New Roman" w:eastAsia="標楷體" w:hAnsi="Times New Roman" w:cs="Times New Roman"/>
          <w:szCs w:val="24"/>
        </w:rPr>
        <w:t xml:space="preserve">Qualified individuals were then hired </w:t>
      </w:r>
      <w:r w:rsidRPr="00885A57">
        <w:rPr>
          <w:rFonts w:ascii="Times New Roman" w:eastAsia="標楷體" w:hAnsi="Times New Roman" w:cs="Times New Roman"/>
          <w:szCs w:val="24"/>
        </w:rPr>
        <w:t xml:space="preserve">to teach Taiwan Sign Language. The government continues offering Taiwan Sign Language workshops for all teachers and workshops </w:t>
      </w:r>
      <w:r w:rsidR="00CE7C67">
        <w:rPr>
          <w:rFonts w:ascii="Times New Roman" w:eastAsia="標楷體" w:hAnsi="Times New Roman" w:cs="Times New Roman"/>
          <w:szCs w:val="24"/>
        </w:rPr>
        <w:t xml:space="preserve">on </w:t>
      </w:r>
      <w:r w:rsidRPr="00885A57">
        <w:rPr>
          <w:rFonts w:ascii="Times New Roman" w:eastAsia="標楷體" w:hAnsi="Times New Roman" w:cs="Times New Roman"/>
          <w:szCs w:val="24"/>
        </w:rPr>
        <w:t>communication</w:t>
      </w:r>
      <w:r w:rsidR="00CE7C67">
        <w:rPr>
          <w:rFonts w:ascii="Times New Roman" w:eastAsia="標楷體" w:hAnsi="Times New Roman" w:cs="Times New Roman"/>
          <w:szCs w:val="24"/>
        </w:rPr>
        <w:t>s</w:t>
      </w:r>
      <w:r w:rsidRPr="00885A57">
        <w:rPr>
          <w:rFonts w:ascii="Times New Roman" w:eastAsia="標楷體" w:hAnsi="Times New Roman" w:cs="Times New Roman"/>
          <w:szCs w:val="24"/>
        </w:rPr>
        <w:t xml:space="preserve"> training for the hearing impaired (including sign language communication)</w:t>
      </w:r>
      <w:r w:rsidR="00CE7C67">
        <w:rPr>
          <w:rFonts w:ascii="Times New Roman" w:eastAsia="標楷體" w:hAnsi="Times New Roman" w:cs="Times New Roman"/>
          <w:szCs w:val="24"/>
        </w:rPr>
        <w:t xml:space="preserve"> that </w:t>
      </w:r>
      <w:r w:rsidRPr="00885A57">
        <w:rPr>
          <w:rFonts w:ascii="Times New Roman" w:eastAsia="標楷體" w:hAnsi="Times New Roman" w:cs="Times New Roman"/>
          <w:szCs w:val="24"/>
        </w:rPr>
        <w:t xml:space="preserve">parents are welcome to attend. Sign language clubs have been founded </w:t>
      </w:r>
      <w:r w:rsidR="00CE7C67">
        <w:rPr>
          <w:rFonts w:ascii="Times New Roman" w:eastAsia="標楷體" w:hAnsi="Times New Roman" w:cs="Times New Roman"/>
          <w:szCs w:val="24"/>
        </w:rPr>
        <w:t xml:space="preserve">at </w:t>
      </w:r>
      <w:r w:rsidRPr="00885A57">
        <w:rPr>
          <w:rFonts w:ascii="Times New Roman" w:eastAsia="標楷體" w:hAnsi="Times New Roman" w:cs="Times New Roman"/>
          <w:szCs w:val="24"/>
        </w:rPr>
        <w:t xml:space="preserve">universities and </w:t>
      </w:r>
      <w:r w:rsidRPr="00885A57">
        <w:rPr>
          <w:rFonts w:ascii="Times New Roman" w:eastAsia="標楷體" w:hAnsi="Times New Roman" w:cs="Times New Roman"/>
          <w:szCs w:val="24"/>
        </w:rPr>
        <w:lastRenderedPageBreak/>
        <w:t>senior high schools, allowing students who are interested in learning sign language to join. Currently, 16 museums affiliated with the MOC have improved public services and interpreter training</w:t>
      </w:r>
      <w:r w:rsidR="00CE7C67">
        <w:rPr>
          <w:rFonts w:ascii="Times New Roman" w:eastAsia="標楷體" w:hAnsi="Times New Roman" w:cs="Times New Roman"/>
          <w:szCs w:val="24"/>
        </w:rPr>
        <w:t xml:space="preserve"> in </w:t>
      </w:r>
      <w:r w:rsidRPr="00885A57">
        <w:rPr>
          <w:rFonts w:ascii="Times New Roman" w:eastAsia="標楷體" w:hAnsi="Times New Roman" w:cs="Times New Roman"/>
          <w:szCs w:val="24"/>
        </w:rPr>
        <w:t>all national languages including Taiwan Sign Language.</w:t>
      </w:r>
    </w:p>
    <w:p w14:paraId="164312B5" w14:textId="2E3F2876" w:rsidR="0078791A" w:rsidRPr="00885A57" w:rsidRDefault="00EF7B5E" w:rsidP="00C50226">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Pursuant to the PDRPA, local governments have </w:t>
      </w:r>
      <w:r w:rsidR="00CE7C67">
        <w:rPr>
          <w:rFonts w:ascii="Times New Roman" w:eastAsia="標楷體" w:hAnsi="Times New Roman" w:cs="Times New Roman"/>
          <w:szCs w:val="24"/>
        </w:rPr>
        <w:t xml:space="preserve">signed </w:t>
      </w:r>
      <w:r w:rsidRPr="00885A57">
        <w:rPr>
          <w:rFonts w:ascii="Times New Roman" w:eastAsia="標楷體" w:hAnsi="Times New Roman" w:cs="Times New Roman"/>
          <w:szCs w:val="24"/>
        </w:rPr>
        <w:t xml:space="preserve">service contacts for sign language </w:t>
      </w:r>
      <w:r w:rsidR="00CE7C67">
        <w:rPr>
          <w:rFonts w:ascii="Times New Roman" w:eastAsia="標楷體" w:hAnsi="Times New Roman" w:cs="Times New Roman"/>
          <w:szCs w:val="24"/>
        </w:rPr>
        <w:t xml:space="preserve">interpretation and </w:t>
      </w:r>
      <w:r w:rsidR="00B910E2">
        <w:rPr>
          <w:rFonts w:ascii="Times New Roman" w:eastAsia="標楷體" w:hAnsi="Times New Roman" w:cs="Times New Roman"/>
          <w:szCs w:val="24"/>
        </w:rPr>
        <w:t>realtime translation</w:t>
      </w:r>
      <w:r w:rsidR="00CE7C67">
        <w:rPr>
          <w:rFonts w:ascii="Times New Roman" w:eastAsia="標楷體" w:hAnsi="Times New Roman" w:cs="Times New Roman"/>
          <w:szCs w:val="24"/>
        </w:rPr>
        <w:t xml:space="preserve">s </w:t>
      </w:r>
      <w:r w:rsidRPr="00885A57">
        <w:rPr>
          <w:rFonts w:ascii="Times New Roman" w:eastAsia="標楷體" w:hAnsi="Times New Roman" w:cs="Times New Roman"/>
          <w:szCs w:val="24"/>
        </w:rPr>
        <w:t xml:space="preserve">to facilitate public affairs participation by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hearing or speech and language impairment</w:t>
      </w:r>
      <w:r w:rsidR="00CE7C67">
        <w:rPr>
          <w:rFonts w:ascii="Times New Roman" w:eastAsia="標楷體" w:hAnsi="Times New Roman" w:cs="Times New Roman"/>
          <w:szCs w:val="24"/>
        </w:rPr>
        <w:t>s</w:t>
      </w:r>
      <w:r w:rsidRPr="00885A57">
        <w:rPr>
          <w:rFonts w:ascii="Times New Roman" w:eastAsia="標楷體" w:hAnsi="Times New Roman" w:cs="Times New Roman"/>
          <w:szCs w:val="24"/>
        </w:rPr>
        <w:t xml:space="preserve">. The MOHW added two indicators to the 2019 social welfare performance assessment of local governments [i.e., (1) the opening of a jurisdiction-wide application for </w:t>
      </w:r>
      <w:r w:rsidR="00CE7C67">
        <w:rPr>
          <w:rFonts w:ascii="Times New Roman" w:eastAsia="標楷體" w:hAnsi="Times New Roman" w:cs="Times New Roman"/>
          <w:szCs w:val="24"/>
        </w:rPr>
        <w:t xml:space="preserve">sign </w:t>
      </w:r>
      <w:r w:rsidRPr="00885A57">
        <w:rPr>
          <w:rFonts w:ascii="Times New Roman" w:eastAsia="標楷體" w:hAnsi="Times New Roman" w:cs="Times New Roman"/>
          <w:szCs w:val="24"/>
        </w:rPr>
        <w:t xml:space="preserve">language interpreting and </w:t>
      </w:r>
      <w:r w:rsidR="00B910E2">
        <w:rPr>
          <w:rFonts w:ascii="Times New Roman" w:eastAsia="標楷體" w:hAnsi="Times New Roman" w:cs="Times New Roman"/>
          <w:szCs w:val="24"/>
        </w:rPr>
        <w:t>realtime translation</w:t>
      </w:r>
      <w:r w:rsidRPr="00885A57">
        <w:rPr>
          <w:rFonts w:ascii="Times New Roman" w:eastAsia="標楷體" w:hAnsi="Times New Roman" w:cs="Times New Roman"/>
          <w:szCs w:val="24"/>
        </w:rPr>
        <w:t xml:space="preserve"> and (2) an annual budget higher than </w:t>
      </w:r>
      <w:r w:rsidR="00CE7C67">
        <w:rPr>
          <w:rFonts w:ascii="Times New Roman" w:eastAsia="標楷體" w:hAnsi="Times New Roman" w:cs="Times New Roman"/>
          <w:szCs w:val="24"/>
        </w:rPr>
        <w:t xml:space="preserve">that </w:t>
      </w:r>
      <w:r w:rsidRPr="00885A57">
        <w:rPr>
          <w:rFonts w:ascii="Times New Roman" w:eastAsia="標楷體" w:hAnsi="Times New Roman" w:cs="Times New Roman"/>
          <w:szCs w:val="24"/>
        </w:rPr>
        <w:t xml:space="preserve">of the previous year] and </w:t>
      </w:r>
      <w:r w:rsidR="00CE7C67">
        <w:rPr>
          <w:rFonts w:ascii="Times New Roman" w:eastAsia="標楷體" w:hAnsi="Times New Roman" w:cs="Times New Roman"/>
          <w:szCs w:val="24"/>
        </w:rPr>
        <w:t xml:space="preserve">required </w:t>
      </w:r>
      <w:r w:rsidRPr="00885A57">
        <w:rPr>
          <w:rFonts w:ascii="Times New Roman" w:eastAsia="標楷體" w:hAnsi="Times New Roman" w:cs="Times New Roman"/>
          <w:szCs w:val="24"/>
        </w:rPr>
        <w:t xml:space="preserve">compliance by local authorities. Because of fewer cases, </w:t>
      </w:r>
      <w:r w:rsidR="00CE7C67">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local governments </w:t>
      </w:r>
      <w:r w:rsidR="00CE7C67">
        <w:rPr>
          <w:rFonts w:ascii="Times New Roman" w:eastAsia="標楷體" w:hAnsi="Times New Roman" w:cs="Times New Roman"/>
          <w:szCs w:val="24"/>
        </w:rPr>
        <w:t xml:space="preserve">of </w:t>
      </w:r>
      <w:r w:rsidR="00215840" w:rsidRPr="00885A57">
        <w:rPr>
          <w:rFonts w:ascii="Times New Roman" w:eastAsia="標楷體" w:hAnsi="Times New Roman" w:cs="Times New Roman"/>
          <w:szCs w:val="24"/>
        </w:rPr>
        <w:t>offshore</w:t>
      </w:r>
      <w:r w:rsidRPr="00885A57">
        <w:rPr>
          <w:rFonts w:ascii="Times New Roman" w:eastAsia="標楷體" w:hAnsi="Times New Roman" w:cs="Times New Roman"/>
          <w:szCs w:val="24"/>
        </w:rPr>
        <w:t xml:space="preserve"> islands expanded their service capacity by cooperating with professional civil groups and launching remote services. The MOHW has subsidized national </w:t>
      </w:r>
      <w:r w:rsidR="00CE7C67">
        <w:rPr>
          <w:rFonts w:ascii="Times New Roman" w:eastAsia="標楷體" w:hAnsi="Times New Roman" w:cs="Times New Roman"/>
          <w:szCs w:val="24"/>
        </w:rPr>
        <w:t xml:space="preserve">and </w:t>
      </w:r>
      <w:r w:rsidRPr="00885A57">
        <w:rPr>
          <w:rFonts w:ascii="Times New Roman" w:eastAsia="標楷體" w:hAnsi="Times New Roman" w:cs="Times New Roman"/>
          <w:szCs w:val="24"/>
        </w:rPr>
        <w:t xml:space="preserve">local groups to hold on-the-job training </w:t>
      </w:r>
      <w:r w:rsidR="00CE7C67">
        <w:rPr>
          <w:rFonts w:ascii="Times New Roman" w:eastAsia="標楷體" w:hAnsi="Times New Roman" w:cs="Times New Roman"/>
          <w:szCs w:val="24"/>
        </w:rPr>
        <w:t xml:space="preserve">in </w:t>
      </w:r>
      <w:r w:rsidRPr="00885A57">
        <w:rPr>
          <w:rFonts w:ascii="Times New Roman" w:eastAsia="標楷體" w:hAnsi="Times New Roman" w:cs="Times New Roman"/>
          <w:szCs w:val="24"/>
        </w:rPr>
        <w:t xml:space="preserve">sign language </w:t>
      </w:r>
      <w:r w:rsidR="00CE7C67">
        <w:rPr>
          <w:rFonts w:ascii="Times New Roman" w:eastAsia="標楷體" w:hAnsi="Times New Roman" w:cs="Times New Roman"/>
          <w:szCs w:val="24"/>
        </w:rPr>
        <w:t xml:space="preserve">interpretation </w:t>
      </w:r>
      <w:r w:rsidRPr="00885A57">
        <w:rPr>
          <w:rFonts w:ascii="Times New Roman" w:eastAsia="標楷體" w:hAnsi="Times New Roman" w:cs="Times New Roman"/>
          <w:szCs w:val="24"/>
        </w:rPr>
        <w:t xml:space="preserve">and offer </w:t>
      </w:r>
      <w:r w:rsidR="00B910E2">
        <w:rPr>
          <w:rFonts w:ascii="Times New Roman" w:eastAsia="標楷體" w:hAnsi="Times New Roman" w:cs="Times New Roman"/>
          <w:szCs w:val="24"/>
        </w:rPr>
        <w:t>communication access realtime translation</w:t>
      </w:r>
      <w:r w:rsidRPr="00885A57">
        <w:rPr>
          <w:rFonts w:ascii="Times New Roman" w:eastAsia="標楷體" w:hAnsi="Times New Roman" w:cs="Times New Roman"/>
          <w:szCs w:val="24"/>
        </w:rPr>
        <w:t xml:space="preserve"> courses and established a human resources database of sign language interpreters for local governments, allowing local authorities to regularly access basic information (including certificates) of registered interpreters since 2020. The numbers of sign language interpreters and </w:t>
      </w:r>
      <w:r w:rsidR="002D4191">
        <w:rPr>
          <w:rFonts w:ascii="Times New Roman" w:eastAsia="標楷體" w:hAnsi="Times New Roman" w:cs="Times New Roman"/>
          <w:szCs w:val="24"/>
        </w:rPr>
        <w:t xml:space="preserve">communication access realtime translation </w:t>
      </w:r>
      <w:r w:rsidR="002B4C4F">
        <w:rPr>
          <w:rFonts w:ascii="Times New Roman" w:eastAsia="標楷體" w:hAnsi="Times New Roman" w:cs="Times New Roman"/>
          <w:szCs w:val="24"/>
        </w:rPr>
        <w:t>caption writers</w:t>
      </w:r>
      <w:r w:rsidRPr="00885A57">
        <w:rPr>
          <w:rFonts w:ascii="Times New Roman" w:eastAsia="標楷體" w:hAnsi="Times New Roman" w:cs="Times New Roman"/>
          <w:szCs w:val="24"/>
        </w:rPr>
        <w:t xml:space="preserve"> as well as applications for their services slightly grew from 2016 to 2019; data related to </w:t>
      </w:r>
      <w:r w:rsidR="00034859" w:rsidRPr="00885A57">
        <w:rPr>
          <w:rFonts w:ascii="Times New Roman" w:eastAsia="標楷體" w:hAnsi="Times New Roman" w:cs="Times New Roman"/>
          <w:szCs w:val="24"/>
        </w:rPr>
        <w:t>say</w:t>
      </w:r>
      <w:r w:rsidRPr="00885A57">
        <w:rPr>
          <w:rFonts w:ascii="Times New Roman" w:eastAsia="標楷體" w:hAnsi="Times New Roman" w:cs="Times New Roman"/>
          <w:szCs w:val="24"/>
        </w:rPr>
        <w:t xml:space="preserve"> services in local governments are listed in Tables 21.1 and 21.2.</w:t>
      </w:r>
    </w:p>
    <w:p w14:paraId="52E0236B" w14:textId="0D0662FB" w:rsidR="00574F69" w:rsidRPr="00885A57" w:rsidRDefault="00EE7E37"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33" w:name="_Ref55911395"/>
      <w:r w:rsidRPr="00885A57">
        <w:rPr>
          <w:rFonts w:ascii="Times New Roman" w:eastAsia="標楷體" w:hAnsi="Times New Roman" w:cs="Times New Roman"/>
          <w:szCs w:val="24"/>
        </w:rPr>
        <w:t xml:space="preserve">To encourage the public to learn sign language as well as to foster early </w:t>
      </w:r>
      <w:r w:rsidRPr="00885A57">
        <w:rPr>
          <w:rFonts w:ascii="Times New Roman" w:eastAsia="標楷體" w:hAnsi="Times New Roman" w:cs="Times New Roman"/>
          <w:szCs w:val="24"/>
        </w:rPr>
        <w:lastRenderedPageBreak/>
        <w:t xml:space="preserve">communication between parents and children with hearing impairment, the MOHW, between 2016 and 2019, subsidized organizations for people with hearing impairment to host sign language workshops (subsidies were prioritized for sign language courses targeting parents with children with hearing impairment aged </w:t>
      </w:r>
      <w:r w:rsidR="00DE3664" w:rsidRPr="00885A57">
        <w:rPr>
          <w:rFonts w:ascii="Times New Roman" w:eastAsia="標楷體" w:hAnsi="Times New Roman" w:cs="Times New Roman"/>
          <w:szCs w:val="24"/>
        </w:rPr>
        <w:t>six</w:t>
      </w:r>
      <w:r w:rsidRPr="00885A57">
        <w:rPr>
          <w:rFonts w:ascii="Times New Roman" w:eastAsia="標楷體" w:hAnsi="Times New Roman" w:cs="Times New Roman"/>
          <w:szCs w:val="24"/>
        </w:rPr>
        <w:t xml:space="preserve"> years and younger) or offer training programs in sign language interpreting. These workshops and programs </w:t>
      </w:r>
      <w:r w:rsidR="003A6006">
        <w:rPr>
          <w:rFonts w:ascii="Times New Roman" w:eastAsia="標楷體" w:hAnsi="Times New Roman" w:cs="Times New Roman"/>
          <w:szCs w:val="24"/>
        </w:rPr>
        <w:t xml:space="preserve">were attended by a total of </w:t>
      </w:r>
      <w:r w:rsidRPr="00885A57">
        <w:rPr>
          <w:rFonts w:ascii="Times New Roman" w:eastAsia="標楷體" w:hAnsi="Times New Roman" w:cs="Times New Roman"/>
          <w:szCs w:val="24"/>
        </w:rPr>
        <w:t xml:space="preserve">1,756 people. Aiming to create diverse language-friendly environments, the MOC adopted the </w:t>
      </w:r>
      <w:r w:rsidRPr="002153DE">
        <w:rPr>
          <w:rFonts w:ascii="Times New Roman" w:eastAsia="標楷體" w:hAnsi="Times New Roman" w:cs="Times New Roman"/>
          <w:iCs/>
          <w:szCs w:val="24"/>
        </w:rPr>
        <w:t>Directions for Linguistic Diversity and Multilingual Environment-Friendliness</w:t>
      </w:r>
      <w:r w:rsidRPr="00885A57">
        <w:rPr>
          <w:rFonts w:ascii="Times New Roman" w:eastAsia="標楷體" w:hAnsi="Times New Roman" w:cs="Times New Roman"/>
          <w:szCs w:val="24"/>
        </w:rPr>
        <w:t xml:space="preserve"> and </w:t>
      </w:r>
      <w:r w:rsidRPr="002153DE">
        <w:rPr>
          <w:rFonts w:ascii="Times New Roman" w:eastAsia="標楷體" w:hAnsi="Times New Roman" w:cs="Times New Roman"/>
          <w:iCs/>
          <w:szCs w:val="24"/>
        </w:rPr>
        <w:t>Directions for Native Language Creation and Application</w:t>
      </w:r>
      <w:r w:rsidRPr="00885A57">
        <w:rPr>
          <w:rFonts w:ascii="Times New Roman" w:eastAsia="標楷體" w:hAnsi="Times New Roman" w:cs="Times New Roman"/>
          <w:szCs w:val="24"/>
        </w:rPr>
        <w:t xml:space="preserve"> in 2018, which comprise rules for Taiwan Sign Language grants. By 2019, subsidies </w:t>
      </w:r>
      <w:r w:rsidR="00A70F1D">
        <w:rPr>
          <w:rFonts w:ascii="Times New Roman" w:eastAsia="標楷體" w:hAnsi="Times New Roman" w:cs="Times New Roman"/>
          <w:szCs w:val="24"/>
        </w:rPr>
        <w:t xml:space="preserve">of NT$1.644 million </w:t>
      </w:r>
      <w:r w:rsidRPr="00885A57">
        <w:rPr>
          <w:rFonts w:ascii="Times New Roman" w:eastAsia="標楷體" w:hAnsi="Times New Roman" w:cs="Times New Roman"/>
          <w:szCs w:val="24"/>
        </w:rPr>
        <w:t>had been granted to nine sign language projects</w:t>
      </w:r>
      <w:r w:rsidR="00A70F1D">
        <w:rPr>
          <w:rFonts w:ascii="Times New Roman" w:eastAsia="標楷體" w:hAnsi="Times New Roman" w:cs="Times New Roman"/>
          <w:szCs w:val="24"/>
        </w:rPr>
        <w:t xml:space="preserve"> having </w:t>
      </w:r>
      <w:r w:rsidRPr="00885A57">
        <w:rPr>
          <w:rFonts w:ascii="Times New Roman" w:eastAsia="標楷體" w:hAnsi="Times New Roman" w:cs="Times New Roman"/>
          <w:szCs w:val="24"/>
        </w:rPr>
        <w:t>11,037 participants.</w:t>
      </w:r>
      <w:bookmarkEnd w:id="133"/>
      <w:r w:rsidRPr="00885A57">
        <w:rPr>
          <w:rStyle w:val="ab"/>
          <w:rFonts w:ascii="Times New Roman" w:eastAsia="標楷體" w:hAnsi="Times New Roman" w:cs="Times New Roman"/>
        </w:rPr>
        <w:footnoteReference w:id="82"/>
      </w:r>
      <w:r w:rsidR="00B04C8C" w:rsidRPr="00885A57">
        <w:rPr>
          <w:rFonts w:ascii="Times New Roman" w:eastAsia="標楷體" w:hAnsi="Times New Roman" w:cs="Times New Roman"/>
          <w:szCs w:val="24"/>
        </w:rPr>
        <w:t xml:space="preserve"> </w:t>
      </w:r>
    </w:p>
    <w:p w14:paraId="68383EF3" w14:textId="4E7596FC" w:rsidR="00574F69" w:rsidRPr="00F370E0" w:rsidRDefault="00EE7E37" w:rsidP="003A6006">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34" w:name="_Ref55911721"/>
      <w:r w:rsidRPr="00885A57">
        <w:rPr>
          <w:rFonts w:ascii="Times New Roman" w:eastAsia="標楷體" w:hAnsi="Times New Roman" w:cs="Times New Roman"/>
          <w:kern w:val="3"/>
          <w:szCs w:val="24"/>
        </w:rPr>
        <w:t xml:space="preserve">The PDRPA stipulates that the municipal and county (city) competent authorities, at all levels and </w:t>
      </w:r>
      <w:r w:rsidR="003A6006">
        <w:rPr>
          <w:rFonts w:ascii="Times New Roman" w:eastAsia="標楷體" w:hAnsi="Times New Roman" w:cs="Times New Roman"/>
          <w:kern w:val="3"/>
          <w:szCs w:val="24"/>
        </w:rPr>
        <w:t xml:space="preserve">for all </w:t>
      </w:r>
      <w:r w:rsidRPr="00885A57">
        <w:rPr>
          <w:rFonts w:ascii="Times New Roman" w:eastAsia="標楷體" w:hAnsi="Times New Roman" w:cs="Times New Roman"/>
          <w:kern w:val="3"/>
          <w:szCs w:val="24"/>
        </w:rPr>
        <w:t xml:space="preserve">purposes, shall provide access to public information to </w:t>
      </w:r>
      <w:r w:rsidR="003A6006">
        <w:rPr>
          <w:rFonts w:ascii="Times New Roman" w:eastAsia="標楷體" w:hAnsi="Times New Roman" w:cs="Times New Roman"/>
          <w:kern w:val="3"/>
          <w:szCs w:val="24"/>
        </w:rPr>
        <w:t xml:space="preserve">help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kern w:val="3"/>
          <w:szCs w:val="24"/>
        </w:rPr>
        <w:t xml:space="preserve"> with disabilities</w:t>
      </w:r>
      <w:r w:rsidR="003A6006">
        <w:rPr>
          <w:rFonts w:ascii="Times New Roman" w:eastAsia="標楷體" w:hAnsi="Times New Roman" w:cs="Times New Roman"/>
          <w:kern w:val="3"/>
          <w:szCs w:val="24"/>
        </w:rPr>
        <w:t xml:space="preserve"> participate in society</w:t>
      </w:r>
      <w:r w:rsidRPr="00885A57">
        <w:rPr>
          <w:rFonts w:ascii="Times New Roman" w:eastAsia="標楷體" w:hAnsi="Times New Roman" w:cs="Times New Roman"/>
          <w:kern w:val="3"/>
          <w:szCs w:val="24"/>
        </w:rPr>
        <w:t>. When managing cases of litigation pertaining to people with hearing or speech and language impairment, the court may request the local government to recommend qualified interpreters. During 2015 and 2016, the NCC requested that when television broadcasters relay essential government news, the sign language interpreter (if any) shall appear on the screen unobstructed and at a sufficient size</w:t>
      </w:r>
      <w:r w:rsidR="003F6195">
        <w:rPr>
          <w:rFonts w:ascii="Times New Roman" w:eastAsia="標楷體" w:hAnsi="Times New Roman" w:cs="Times New Roman"/>
          <w:kern w:val="3"/>
          <w:szCs w:val="24"/>
        </w:rPr>
        <w:t xml:space="preserve">: </w:t>
      </w:r>
      <w:r w:rsidRPr="00F370E0">
        <w:rPr>
          <w:rFonts w:ascii="Times New Roman" w:eastAsia="標楷體" w:hAnsi="Times New Roman" w:cs="Times New Roman"/>
          <w:kern w:val="3"/>
          <w:szCs w:val="24"/>
        </w:rPr>
        <w:t>no smaller than one sixth of the screen</w:t>
      </w:r>
      <w:r w:rsidR="003F6195">
        <w:rPr>
          <w:rFonts w:ascii="Times New Roman" w:eastAsia="標楷體" w:hAnsi="Times New Roman" w:cs="Times New Roman"/>
          <w:kern w:val="3"/>
          <w:szCs w:val="24"/>
        </w:rPr>
        <w:t xml:space="preserve"> (</w:t>
      </w:r>
      <w:r w:rsidRPr="00F370E0">
        <w:rPr>
          <w:rFonts w:ascii="Times New Roman" w:eastAsia="標楷體" w:hAnsi="Times New Roman" w:cs="Times New Roman"/>
          <w:kern w:val="3"/>
          <w:szCs w:val="24"/>
        </w:rPr>
        <w:t>consistent with the requirement of the United Kingdom</w:t>
      </w:r>
      <w:r w:rsidR="003A6006">
        <w:rPr>
          <w:rFonts w:ascii="Times New Roman" w:eastAsia="標楷體" w:hAnsi="Times New Roman" w:cs="Times New Roman"/>
          <w:kern w:val="3"/>
          <w:szCs w:val="24"/>
        </w:rPr>
        <w:t xml:space="preserve"> </w:t>
      </w:r>
      <w:r w:rsidR="003A6006">
        <w:rPr>
          <w:rFonts w:ascii="Times New Roman" w:eastAsia="標楷體" w:hAnsi="Times New Roman" w:cs="Times New Roman"/>
          <w:kern w:val="3"/>
          <w:szCs w:val="24"/>
        </w:rPr>
        <w:lastRenderedPageBreak/>
        <w:t>government</w:t>
      </w:r>
      <w:r w:rsidR="003F6195">
        <w:rPr>
          <w:rFonts w:ascii="Times New Roman" w:eastAsia="標楷體" w:hAnsi="Times New Roman" w:cs="Times New Roman"/>
          <w:kern w:val="3"/>
          <w:szCs w:val="24"/>
        </w:rPr>
        <w:t>)</w:t>
      </w:r>
      <w:r w:rsidRPr="00F370E0">
        <w:rPr>
          <w:rFonts w:ascii="Times New Roman" w:eastAsia="標楷體" w:hAnsi="Times New Roman" w:cs="Times New Roman"/>
          <w:kern w:val="3"/>
          <w:szCs w:val="24"/>
        </w:rPr>
        <w:t xml:space="preserve">. Per certain requirements, competent authorities may also require the size of the sign language interpreter on the screen to be enlarged; for example, it </w:t>
      </w:r>
      <w:r w:rsidR="003A6006">
        <w:rPr>
          <w:rFonts w:ascii="Times New Roman" w:eastAsia="標楷體" w:hAnsi="Times New Roman" w:cs="Times New Roman"/>
          <w:kern w:val="3"/>
          <w:szCs w:val="24"/>
        </w:rPr>
        <w:t>has been</w:t>
      </w:r>
      <w:r w:rsidR="003A6006" w:rsidRPr="00F370E0">
        <w:rPr>
          <w:rFonts w:ascii="Times New Roman" w:eastAsia="標楷體" w:hAnsi="Times New Roman" w:cs="Times New Roman"/>
          <w:kern w:val="3"/>
          <w:szCs w:val="24"/>
        </w:rPr>
        <w:t xml:space="preserve"> </w:t>
      </w:r>
      <w:r w:rsidRPr="00F370E0">
        <w:rPr>
          <w:rFonts w:ascii="Times New Roman" w:eastAsia="標楷體" w:hAnsi="Times New Roman" w:cs="Times New Roman"/>
          <w:kern w:val="3"/>
          <w:szCs w:val="24"/>
        </w:rPr>
        <w:t xml:space="preserve">enlarged to one third </w:t>
      </w:r>
      <w:r w:rsidR="00A70F1D">
        <w:rPr>
          <w:rFonts w:ascii="Times New Roman" w:eastAsia="標楷體" w:hAnsi="Times New Roman" w:cs="Times New Roman"/>
          <w:kern w:val="3"/>
          <w:szCs w:val="24"/>
        </w:rPr>
        <w:t xml:space="preserve">of the screen </w:t>
      </w:r>
      <w:r w:rsidRPr="00F370E0">
        <w:rPr>
          <w:rFonts w:ascii="Times New Roman" w:eastAsia="標楷體" w:hAnsi="Times New Roman" w:cs="Times New Roman"/>
          <w:kern w:val="3"/>
          <w:szCs w:val="24"/>
        </w:rPr>
        <w:t xml:space="preserve">by the Central Election Commission for presentations produced by political parties </w:t>
      </w:r>
      <w:r w:rsidR="003A6006">
        <w:rPr>
          <w:rFonts w:ascii="Times New Roman" w:eastAsia="標楷體" w:hAnsi="Times New Roman" w:cs="Times New Roman"/>
          <w:kern w:val="3"/>
          <w:szCs w:val="24"/>
        </w:rPr>
        <w:t xml:space="preserve">prior to an </w:t>
      </w:r>
      <w:r w:rsidRPr="00F370E0">
        <w:rPr>
          <w:rFonts w:ascii="Times New Roman" w:eastAsia="標楷體" w:hAnsi="Times New Roman" w:cs="Times New Roman"/>
          <w:kern w:val="3"/>
          <w:szCs w:val="24"/>
        </w:rPr>
        <w:t>election.</w:t>
      </w:r>
      <w:bookmarkEnd w:id="134"/>
      <w:r w:rsidRPr="00885A57">
        <w:rPr>
          <w:rStyle w:val="ab"/>
          <w:rFonts w:ascii="Times New Roman" w:eastAsia="標楷體" w:hAnsi="Times New Roman" w:cs="Times New Roman"/>
        </w:rPr>
        <w:footnoteReference w:id="83"/>
      </w:r>
    </w:p>
    <w:p w14:paraId="6AD7D1B8" w14:textId="2C2F6DDF" w:rsidR="005C59F5" w:rsidRPr="00885A57" w:rsidRDefault="00EE7E37"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kern w:val="3"/>
          <w:szCs w:val="24"/>
        </w:rPr>
        <w:t xml:space="preserve">To encourage broadcasters to fulfill their social responsibility, the NCC has listed media accessibility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kern w:val="3"/>
          <w:szCs w:val="24"/>
        </w:rPr>
        <w:t xml:space="preserve"> with visual or hearing impairment as an assessment item in license renewal applications of terrestrial television broadcasters and a bonus item in applications for the establishment of a satellite channel.</w:t>
      </w:r>
    </w:p>
    <w:p w14:paraId="749574A7" w14:textId="422BF254" w:rsidR="00E101F5" w:rsidRPr="00885A57" w:rsidRDefault="00EE7E37" w:rsidP="001A2139">
      <w:pPr>
        <w:spacing w:after="120" w:line="360" w:lineRule="auto"/>
        <w:rPr>
          <w:rFonts w:ascii="Times New Roman" w:eastAsia="標楷體" w:hAnsi="Times New Roman" w:cs="Times New Roman"/>
          <w:szCs w:val="24"/>
        </w:rPr>
      </w:pPr>
      <w:r w:rsidRPr="00885A57">
        <w:rPr>
          <w:rFonts w:ascii="Times New Roman" w:eastAsia="標楷體" w:hAnsi="Times New Roman" w:cs="Times New Roman"/>
          <w:szCs w:val="24"/>
        </w:rPr>
        <w:t>B.  Accessible formats (including website format)</w:t>
      </w:r>
      <w:r w:rsidR="000747E8" w:rsidRPr="00885A57">
        <w:rPr>
          <w:rFonts w:ascii="Times New Roman" w:eastAsia="標楷體" w:hAnsi="Times New Roman" w:cs="Times New Roman"/>
          <w:szCs w:val="24"/>
        </w:rPr>
        <w:t xml:space="preserve"> </w:t>
      </w:r>
    </w:p>
    <w:p w14:paraId="09E6F2DD" w14:textId="13395121" w:rsidR="00363714" w:rsidRPr="00885A57" w:rsidRDefault="00EE7E37" w:rsidP="00C50226">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As of 2019, 8,224 authorities affiliated with the Executive Yuan and local governments (including schools) had completed a web accessibility test. Between July 2014 and December 2019, 5,847 web accessibility accreditation badges were granted (among which 5,447 were granted to government agencies). In August 2013, the </w:t>
      </w:r>
      <w:r w:rsidRPr="002153DE">
        <w:rPr>
          <w:rFonts w:ascii="Times New Roman" w:eastAsia="標楷體" w:hAnsi="Times New Roman" w:cs="Times New Roman"/>
          <w:iCs/>
          <w:szCs w:val="24"/>
        </w:rPr>
        <w:t>Regulations for Issuing Web Accessibility Accreditation Badges for Websites of Government Agencies and Schools</w:t>
      </w:r>
      <w:r w:rsidR="002D0CA0" w:rsidRPr="002153DE">
        <w:rPr>
          <w:rFonts w:ascii="Times New Roman" w:eastAsia="標楷體" w:hAnsi="Times New Roman" w:cs="Times New Roman"/>
          <w:iCs/>
          <w:szCs w:val="24"/>
        </w:rPr>
        <w:t xml:space="preserve"> </w:t>
      </w:r>
      <w:r w:rsidR="00117444">
        <w:rPr>
          <w:rFonts w:ascii="Times New Roman" w:eastAsia="標楷體" w:hAnsi="Times New Roman" w:cs="Times New Roman"/>
          <w:iCs/>
          <w:szCs w:val="24"/>
        </w:rPr>
        <w:t>at all levels</w:t>
      </w:r>
      <w:r w:rsidRPr="00885A57">
        <w:rPr>
          <w:rFonts w:ascii="Times New Roman" w:eastAsia="標楷體" w:hAnsi="Times New Roman" w:cs="Times New Roman"/>
          <w:szCs w:val="24"/>
        </w:rPr>
        <w:t xml:space="preserve"> were amended, specifying that the term of each web accessibility</w:t>
      </w:r>
      <w:r w:rsidR="00981BF1">
        <w:rPr>
          <w:rFonts w:ascii="Times New Roman" w:eastAsia="標楷體" w:hAnsi="Times New Roman" w:cs="Times New Roman"/>
          <w:szCs w:val="24"/>
        </w:rPr>
        <w:t xml:space="preserve"> accreditation</w:t>
      </w:r>
      <w:r w:rsidRPr="00885A57">
        <w:rPr>
          <w:rFonts w:ascii="Times New Roman" w:eastAsia="標楷體" w:hAnsi="Times New Roman" w:cs="Times New Roman"/>
          <w:szCs w:val="24"/>
        </w:rPr>
        <w:t xml:space="preserve"> badge </w:t>
      </w:r>
      <w:r w:rsidR="00A4705B">
        <w:rPr>
          <w:rFonts w:ascii="Times New Roman" w:eastAsia="標楷體" w:hAnsi="Times New Roman" w:cs="Times New Roman"/>
          <w:szCs w:val="24"/>
        </w:rPr>
        <w:t>would be</w:t>
      </w:r>
      <w:r w:rsidR="00A4705B"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three years and that of badges granted before </w:t>
      </w:r>
      <w:r w:rsidR="00A4705B">
        <w:rPr>
          <w:rFonts w:ascii="Times New Roman" w:eastAsia="標楷體" w:hAnsi="Times New Roman" w:cs="Times New Roman"/>
          <w:szCs w:val="24"/>
        </w:rPr>
        <w:t xml:space="preserve">the enactment of the </w:t>
      </w:r>
      <w:r w:rsidRPr="00885A57">
        <w:rPr>
          <w:rFonts w:ascii="Times New Roman" w:eastAsia="標楷體" w:hAnsi="Times New Roman" w:cs="Times New Roman"/>
          <w:szCs w:val="24"/>
        </w:rPr>
        <w:t xml:space="preserve">amendment </w:t>
      </w:r>
      <w:r w:rsidR="00A4705B">
        <w:rPr>
          <w:rFonts w:ascii="Times New Roman" w:eastAsia="標楷體" w:hAnsi="Times New Roman" w:cs="Times New Roman"/>
          <w:szCs w:val="24"/>
        </w:rPr>
        <w:t xml:space="preserve">would also be </w:t>
      </w:r>
      <w:r w:rsidRPr="00885A57">
        <w:rPr>
          <w:rFonts w:ascii="Times New Roman" w:eastAsia="標楷體" w:hAnsi="Times New Roman" w:cs="Times New Roman"/>
          <w:szCs w:val="24"/>
        </w:rPr>
        <w:t xml:space="preserve">three years. By 2016, 4,475 badges </w:t>
      </w:r>
      <w:r w:rsidR="00A4705B">
        <w:rPr>
          <w:rFonts w:ascii="Times New Roman" w:eastAsia="標楷體" w:hAnsi="Times New Roman" w:cs="Times New Roman"/>
          <w:szCs w:val="24"/>
        </w:rPr>
        <w:t xml:space="preserve">had been </w:t>
      </w:r>
      <w:r w:rsidRPr="00885A57">
        <w:rPr>
          <w:rFonts w:ascii="Times New Roman" w:eastAsia="標楷體" w:hAnsi="Times New Roman" w:cs="Times New Roman"/>
          <w:szCs w:val="24"/>
        </w:rPr>
        <w:t xml:space="preserve">identified as expired and removed. In 2017, 2018, and 2019, 848, 1,021, and 1,158 expired badges were removed, respectively. The central government encourages private </w:t>
      </w:r>
      <w:r w:rsidRPr="00885A57">
        <w:rPr>
          <w:rFonts w:ascii="Times New Roman" w:eastAsia="標楷體" w:hAnsi="Times New Roman" w:cs="Times New Roman"/>
          <w:szCs w:val="24"/>
        </w:rPr>
        <w:lastRenderedPageBreak/>
        <w:t xml:space="preserve">institutions (including private enterprises, private schools, and NGOs) to apply for web accessibility accreditation. Between July 2014 and July 2019, 400 websites were accredited for their </w:t>
      </w:r>
      <w:r w:rsidR="00A4705B">
        <w:rPr>
          <w:rFonts w:ascii="Times New Roman" w:eastAsia="標楷體" w:hAnsi="Times New Roman" w:cs="Times New Roman"/>
          <w:szCs w:val="24"/>
        </w:rPr>
        <w:t>accessible design</w:t>
      </w:r>
      <w:r w:rsidRPr="00885A57">
        <w:rPr>
          <w:rFonts w:ascii="Times New Roman" w:eastAsia="標楷體" w:hAnsi="Times New Roman" w:cs="Times New Roman"/>
          <w:szCs w:val="24"/>
        </w:rPr>
        <w:t xml:space="preserve"> (Table 21.3).</w:t>
      </w:r>
    </w:p>
    <w:p w14:paraId="1E798681" w14:textId="4B72F621" w:rsidR="00E101F5" w:rsidRPr="00885A57" w:rsidRDefault="00EE7E37" w:rsidP="00C50226">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35" w:name="_Ref55911774"/>
      <w:r w:rsidRPr="00885A57">
        <w:rPr>
          <w:rFonts w:ascii="Times New Roman" w:eastAsia="標楷體" w:hAnsi="Times New Roman" w:cs="Times New Roman"/>
          <w:szCs w:val="24"/>
        </w:rPr>
        <w:t>Domestic banks have established accessible websites</w:t>
      </w:r>
      <w:r w:rsidR="00A4705B">
        <w:rPr>
          <w:rFonts w:ascii="Times New Roman" w:eastAsia="標楷體" w:hAnsi="Times New Roman" w:cs="Times New Roman"/>
          <w:szCs w:val="24"/>
        </w:rPr>
        <w:t>:</w:t>
      </w:r>
      <w:r w:rsidR="00A4705B"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34 of 36 domestic banks</w:t>
      </w:r>
      <w:r w:rsidR="00981BF1">
        <w:rPr>
          <w:rFonts w:ascii="Times New Roman" w:eastAsia="標楷體" w:hAnsi="Times New Roman" w:cs="Times New Roman"/>
          <w:szCs w:val="24"/>
        </w:rPr>
        <w:t xml:space="preserve"> as well as</w:t>
      </w:r>
      <w:r w:rsidRPr="00885A57">
        <w:rPr>
          <w:rFonts w:ascii="Times New Roman" w:eastAsia="標楷體" w:hAnsi="Times New Roman" w:cs="Times New Roman"/>
          <w:szCs w:val="24"/>
        </w:rPr>
        <w:t xml:space="preserve"> Chunghwa Post have acquired the </w:t>
      </w:r>
      <w:r w:rsidR="00A4705B">
        <w:rPr>
          <w:rFonts w:ascii="Times New Roman" w:eastAsia="標楷體" w:hAnsi="Times New Roman" w:cs="Times New Roman"/>
          <w:szCs w:val="24"/>
        </w:rPr>
        <w:t>Public Information W</w:t>
      </w:r>
      <w:r w:rsidR="00A4705B" w:rsidRPr="00885A57">
        <w:rPr>
          <w:rFonts w:ascii="Times New Roman" w:eastAsia="標楷體" w:hAnsi="Times New Roman" w:cs="Times New Roman"/>
          <w:szCs w:val="24"/>
        </w:rPr>
        <w:t xml:space="preserve">eb </w:t>
      </w:r>
      <w:r w:rsidR="00A4705B">
        <w:rPr>
          <w:rFonts w:ascii="Times New Roman" w:eastAsia="標楷體" w:hAnsi="Times New Roman" w:cs="Times New Roman"/>
          <w:szCs w:val="24"/>
        </w:rPr>
        <w:t>A</w:t>
      </w:r>
      <w:r w:rsidR="00A4705B" w:rsidRPr="00885A57">
        <w:rPr>
          <w:rFonts w:ascii="Times New Roman" w:eastAsia="標楷體" w:hAnsi="Times New Roman" w:cs="Times New Roman"/>
          <w:szCs w:val="24"/>
        </w:rPr>
        <w:t xml:space="preserve">ccessibility </w:t>
      </w:r>
      <w:r w:rsidRPr="00885A57">
        <w:rPr>
          <w:rFonts w:ascii="Times New Roman" w:eastAsia="標楷體" w:hAnsi="Times New Roman" w:cs="Times New Roman"/>
          <w:szCs w:val="24"/>
        </w:rPr>
        <w:t xml:space="preserve">2.0 </w:t>
      </w:r>
      <w:r w:rsidR="00A4705B">
        <w:rPr>
          <w:rFonts w:ascii="Times New Roman" w:eastAsia="標楷體" w:hAnsi="Times New Roman" w:cs="Times New Roman"/>
          <w:szCs w:val="24"/>
        </w:rPr>
        <w:t>B</w:t>
      </w:r>
      <w:r w:rsidR="00A4705B" w:rsidRPr="00885A57">
        <w:rPr>
          <w:rFonts w:ascii="Times New Roman" w:eastAsia="標楷體" w:hAnsi="Times New Roman" w:cs="Times New Roman"/>
          <w:szCs w:val="24"/>
        </w:rPr>
        <w:t xml:space="preserve">adge </w:t>
      </w:r>
      <w:r w:rsidRPr="00885A57">
        <w:rPr>
          <w:rFonts w:ascii="Times New Roman" w:eastAsia="標楷體" w:hAnsi="Times New Roman" w:cs="Times New Roman"/>
          <w:szCs w:val="24"/>
        </w:rPr>
        <w:t>with an A mark or higher</w:t>
      </w:r>
      <w:r w:rsidR="00A4705B">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32 banks with online services have acquired the </w:t>
      </w:r>
      <w:r w:rsidR="00A4705B">
        <w:rPr>
          <w:rFonts w:ascii="Times New Roman" w:eastAsia="標楷體" w:hAnsi="Times New Roman" w:cs="Times New Roman"/>
          <w:szCs w:val="24"/>
        </w:rPr>
        <w:t>O</w:t>
      </w:r>
      <w:r w:rsidR="00A4705B" w:rsidRPr="00885A57">
        <w:rPr>
          <w:rFonts w:ascii="Times New Roman" w:eastAsia="標楷體" w:hAnsi="Times New Roman" w:cs="Times New Roman"/>
          <w:szCs w:val="24"/>
        </w:rPr>
        <w:t xml:space="preserve">nline </w:t>
      </w:r>
      <w:r w:rsidR="00A4705B">
        <w:rPr>
          <w:rFonts w:ascii="Times New Roman" w:eastAsia="標楷體" w:hAnsi="Times New Roman" w:cs="Times New Roman"/>
          <w:szCs w:val="24"/>
        </w:rPr>
        <w:t>B</w:t>
      </w:r>
      <w:r w:rsidR="00A4705B" w:rsidRPr="00885A57">
        <w:rPr>
          <w:rFonts w:ascii="Times New Roman" w:eastAsia="標楷體" w:hAnsi="Times New Roman" w:cs="Times New Roman"/>
          <w:szCs w:val="24"/>
        </w:rPr>
        <w:t xml:space="preserve">anking </w:t>
      </w:r>
      <w:r w:rsidR="00A4705B">
        <w:rPr>
          <w:rFonts w:ascii="Times New Roman" w:eastAsia="標楷體" w:hAnsi="Times New Roman" w:cs="Times New Roman"/>
          <w:szCs w:val="24"/>
        </w:rPr>
        <w:t>A</w:t>
      </w:r>
      <w:r w:rsidR="00A4705B" w:rsidRPr="00885A57">
        <w:rPr>
          <w:rFonts w:ascii="Times New Roman" w:eastAsia="標楷體" w:hAnsi="Times New Roman" w:cs="Times New Roman"/>
          <w:szCs w:val="24"/>
        </w:rPr>
        <w:t xml:space="preserve">ccessibility </w:t>
      </w:r>
      <w:r w:rsidRPr="00885A57">
        <w:rPr>
          <w:rFonts w:ascii="Times New Roman" w:eastAsia="標楷體" w:hAnsi="Times New Roman" w:cs="Times New Roman"/>
          <w:szCs w:val="24"/>
        </w:rPr>
        <w:t xml:space="preserve">2.0 </w:t>
      </w:r>
      <w:r w:rsidR="00A4705B">
        <w:rPr>
          <w:rFonts w:ascii="Times New Roman" w:eastAsia="標楷體" w:hAnsi="Times New Roman" w:cs="Times New Roman"/>
          <w:szCs w:val="24"/>
        </w:rPr>
        <w:t>B</w:t>
      </w:r>
      <w:r w:rsidR="00A4705B" w:rsidRPr="00885A57">
        <w:rPr>
          <w:rFonts w:ascii="Times New Roman" w:eastAsia="標楷體" w:hAnsi="Times New Roman" w:cs="Times New Roman"/>
          <w:szCs w:val="24"/>
        </w:rPr>
        <w:t xml:space="preserve">adge </w:t>
      </w:r>
      <w:r w:rsidRPr="00885A57">
        <w:rPr>
          <w:rFonts w:ascii="Times New Roman" w:eastAsia="標楷體" w:hAnsi="Times New Roman" w:cs="Times New Roman"/>
          <w:szCs w:val="24"/>
        </w:rPr>
        <w:t xml:space="preserve">with an A mark or higher. The government also supervises the Bankers Association of the Republic of China in assisting banks to </w:t>
      </w:r>
      <w:r w:rsidR="00A4705B">
        <w:rPr>
          <w:rFonts w:ascii="Times New Roman" w:eastAsia="標楷體" w:hAnsi="Times New Roman" w:cs="Times New Roman"/>
          <w:szCs w:val="24"/>
        </w:rPr>
        <w:t xml:space="preserve">change </w:t>
      </w:r>
      <w:r w:rsidRPr="00885A57">
        <w:rPr>
          <w:rFonts w:ascii="Times New Roman" w:eastAsia="標楷體" w:hAnsi="Times New Roman" w:cs="Times New Roman"/>
          <w:szCs w:val="24"/>
        </w:rPr>
        <w:t xml:space="preserve">their banking apps per the </w:t>
      </w:r>
      <w:r w:rsidRPr="002153DE">
        <w:rPr>
          <w:rFonts w:ascii="Times New Roman" w:eastAsia="標楷體" w:hAnsi="Times New Roman" w:cs="Times New Roman"/>
          <w:iCs/>
          <w:szCs w:val="24"/>
        </w:rPr>
        <w:t>Development Guidelines on Mobile Application Accessibility</w:t>
      </w:r>
      <w:r w:rsidRPr="00885A57">
        <w:rPr>
          <w:rFonts w:ascii="Times New Roman" w:eastAsia="標楷體" w:hAnsi="Times New Roman" w:cs="Times New Roman"/>
          <w:szCs w:val="24"/>
        </w:rPr>
        <w:t>.</w:t>
      </w:r>
      <w:bookmarkEnd w:id="135"/>
      <w:r w:rsidRPr="00885A57">
        <w:rPr>
          <w:rStyle w:val="ab"/>
          <w:rFonts w:ascii="Times New Roman" w:eastAsia="標楷體" w:hAnsi="Times New Roman" w:cs="Times New Roman"/>
        </w:rPr>
        <w:footnoteReference w:id="84"/>
      </w:r>
    </w:p>
    <w:p w14:paraId="576A2C16" w14:textId="53016146" w:rsidR="003B3ED4" w:rsidRPr="00B72061" w:rsidRDefault="00EE7E37" w:rsidP="00C50226">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B72061">
        <w:rPr>
          <w:rFonts w:ascii="Times New Roman" w:eastAsia="標楷體" w:hAnsi="Times New Roman" w:cs="Times New Roman"/>
          <w:szCs w:val="24"/>
        </w:rPr>
        <w:t xml:space="preserve">As of 2019, 385 applications were submitted by banks for a web accessibility test, and among them, 134 were accredited. Specifically, 32 banks and 75 websites were granted a badge, among which 11 were </w:t>
      </w:r>
      <w:r w:rsidR="00B72061">
        <w:rPr>
          <w:rFonts w:ascii="Times New Roman" w:eastAsia="標楷體" w:hAnsi="Times New Roman" w:cs="Times New Roman"/>
          <w:szCs w:val="24"/>
        </w:rPr>
        <w:t xml:space="preserve">for </w:t>
      </w:r>
      <w:r w:rsidRPr="00B72061">
        <w:rPr>
          <w:rFonts w:ascii="Times New Roman" w:eastAsia="標楷體" w:hAnsi="Times New Roman" w:cs="Times New Roman"/>
          <w:szCs w:val="24"/>
        </w:rPr>
        <w:t xml:space="preserve">official websites, 21 were </w:t>
      </w:r>
      <w:r w:rsidR="00B72061">
        <w:rPr>
          <w:rFonts w:ascii="Times New Roman" w:eastAsia="標楷體" w:hAnsi="Times New Roman" w:cs="Times New Roman"/>
          <w:szCs w:val="24"/>
        </w:rPr>
        <w:t xml:space="preserve">for </w:t>
      </w:r>
      <w:r w:rsidRPr="00B72061">
        <w:rPr>
          <w:rFonts w:ascii="Times New Roman" w:eastAsia="標楷體" w:hAnsi="Times New Roman" w:cs="Times New Roman"/>
          <w:szCs w:val="24"/>
        </w:rPr>
        <w:t xml:space="preserve">simple web ATMs, 22 were </w:t>
      </w:r>
      <w:r w:rsidR="00B72061">
        <w:rPr>
          <w:rFonts w:ascii="Times New Roman" w:eastAsia="標楷體" w:hAnsi="Times New Roman" w:cs="Times New Roman"/>
          <w:szCs w:val="24"/>
        </w:rPr>
        <w:t xml:space="preserve">for </w:t>
      </w:r>
      <w:r w:rsidR="000E78BD">
        <w:rPr>
          <w:rFonts w:ascii="Times New Roman" w:eastAsia="標楷體" w:hAnsi="Times New Roman" w:cs="Times New Roman"/>
          <w:szCs w:val="24"/>
        </w:rPr>
        <w:t>disabled-friendly</w:t>
      </w:r>
      <w:r w:rsidRPr="00B72061">
        <w:rPr>
          <w:rFonts w:ascii="Times New Roman" w:eastAsia="標楷體" w:hAnsi="Times New Roman" w:cs="Times New Roman"/>
          <w:szCs w:val="24"/>
        </w:rPr>
        <w:t xml:space="preserve"> online banking webpages, and 21 were </w:t>
      </w:r>
      <w:r w:rsidR="00B72061">
        <w:rPr>
          <w:rFonts w:ascii="Times New Roman" w:eastAsia="標楷體" w:hAnsi="Times New Roman" w:cs="Times New Roman"/>
          <w:szCs w:val="24"/>
        </w:rPr>
        <w:t xml:space="preserve">for </w:t>
      </w:r>
      <w:r w:rsidRPr="00B72061">
        <w:rPr>
          <w:rFonts w:ascii="Times New Roman" w:eastAsia="標楷體" w:hAnsi="Times New Roman" w:cs="Times New Roman"/>
          <w:szCs w:val="24"/>
        </w:rPr>
        <w:t>webpage</w:t>
      </w:r>
      <w:r w:rsidR="00B72061">
        <w:rPr>
          <w:rFonts w:ascii="Times New Roman" w:eastAsia="標楷體" w:hAnsi="Times New Roman" w:cs="Times New Roman"/>
          <w:szCs w:val="24"/>
        </w:rPr>
        <w:t>s</w:t>
      </w:r>
      <w:r w:rsidRPr="00B72061">
        <w:rPr>
          <w:rFonts w:ascii="Times New Roman" w:eastAsia="標楷體" w:hAnsi="Times New Roman" w:cs="Times New Roman"/>
          <w:szCs w:val="24"/>
        </w:rPr>
        <w:t xml:space="preserve"> for </w:t>
      </w:r>
      <w:r w:rsidR="00B72061">
        <w:rPr>
          <w:rFonts w:ascii="Times New Roman" w:eastAsia="標楷體" w:hAnsi="Times New Roman" w:cs="Times New Roman"/>
          <w:szCs w:val="24"/>
        </w:rPr>
        <w:t>an</w:t>
      </w:r>
      <w:r w:rsidRPr="00B72061">
        <w:rPr>
          <w:rFonts w:ascii="Times New Roman" w:eastAsia="標楷體" w:hAnsi="Times New Roman" w:cs="Times New Roman"/>
          <w:szCs w:val="24"/>
        </w:rPr>
        <w:t>other purpose (e.g., exchange rate lookup and handling charge exemptions; Table 21.4).</w:t>
      </w:r>
    </w:p>
    <w:p w14:paraId="2E8EB7FC" w14:textId="76FDA653" w:rsidR="001C2DF7" w:rsidRPr="00885A57" w:rsidRDefault="00EE7E37"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36" w:name="_Ref55911849"/>
      <w:r w:rsidRPr="00885A57">
        <w:rPr>
          <w:rFonts w:ascii="Times New Roman" w:eastAsia="標楷體" w:hAnsi="Times New Roman" w:cs="Times New Roman"/>
          <w:szCs w:val="24"/>
        </w:rPr>
        <w:t xml:space="preserve">In 2017, the </w:t>
      </w:r>
      <w:r w:rsidRPr="002153DE">
        <w:rPr>
          <w:rFonts w:ascii="Times New Roman" w:eastAsia="標楷體" w:hAnsi="Times New Roman" w:cs="Times New Roman"/>
          <w:iCs/>
          <w:szCs w:val="24"/>
        </w:rPr>
        <w:t>Guidelines for Accessibility of Systems for Government Authorities</w:t>
      </w:r>
      <w:r w:rsidRPr="00885A57">
        <w:rPr>
          <w:rFonts w:ascii="Times New Roman" w:eastAsia="標楷體" w:hAnsi="Times New Roman" w:cs="Times New Roman"/>
          <w:szCs w:val="24"/>
        </w:rPr>
        <w:t xml:space="preserve"> were promulgated to help authorities that employ people with severe visual impairment or severe physical </w:t>
      </w:r>
      <w:r w:rsidR="000A7889">
        <w:rPr>
          <w:rFonts w:ascii="Times New Roman" w:eastAsia="標楷體" w:hAnsi="Times New Roman" w:cs="Times New Roman"/>
          <w:szCs w:val="24"/>
        </w:rPr>
        <w:t>impairment</w:t>
      </w:r>
      <w:r w:rsidRPr="00885A57">
        <w:rPr>
          <w:rFonts w:ascii="Times New Roman" w:eastAsia="標楷體" w:hAnsi="Times New Roman" w:cs="Times New Roman"/>
          <w:szCs w:val="24"/>
        </w:rPr>
        <w:t xml:space="preserve"> (i.e., those who cannot use a computer mouse) to implement accessibility design in </w:t>
      </w:r>
      <w:r w:rsidRPr="00885A57">
        <w:rPr>
          <w:rFonts w:ascii="Times New Roman" w:hAnsi="Times New Roman" w:cs="Times New Roman"/>
          <w:szCs w:val="24"/>
        </w:rPr>
        <w:t>government</w:t>
      </w:r>
      <w:r w:rsidRPr="00885A57">
        <w:rPr>
          <w:rFonts w:ascii="Times New Roman" w:eastAsia="標楷體" w:hAnsi="Times New Roman" w:cs="Times New Roman"/>
          <w:szCs w:val="24"/>
        </w:rPr>
        <w:t xml:space="preserve"> systems. In 2019, the public</w:t>
      </w:r>
      <w:r w:rsidR="003F6195">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release accessibility design of the official document system and that of the </w:t>
      </w:r>
      <w:r w:rsidRPr="00885A57">
        <w:rPr>
          <w:rFonts w:ascii="Times New Roman" w:eastAsia="標楷體" w:hAnsi="Times New Roman" w:cs="Times New Roman"/>
          <w:szCs w:val="24"/>
        </w:rPr>
        <w:lastRenderedPageBreak/>
        <w:t>attendance system were published for governments at all levels.</w:t>
      </w:r>
      <w:bookmarkEnd w:id="136"/>
      <w:r w:rsidRPr="00885A57">
        <w:rPr>
          <w:rStyle w:val="ab"/>
          <w:rFonts w:ascii="Times New Roman" w:eastAsia="標楷體" w:hAnsi="Times New Roman" w:cs="Times New Roman"/>
        </w:rPr>
        <w:footnoteReference w:id="85"/>
      </w:r>
    </w:p>
    <w:p w14:paraId="0C841680" w14:textId="3C6E97BB" w:rsidR="00BB6DF4" w:rsidRPr="00885A57" w:rsidRDefault="007602B0" w:rsidP="00C50226">
      <w:pPr>
        <w:pStyle w:val="10"/>
        <w:spacing w:after="120" w:line="360" w:lineRule="auto"/>
        <w:rPr>
          <w:rFonts w:ascii="Times New Roman" w:hAnsi="Times New Roman"/>
        </w:rPr>
      </w:pPr>
      <w:bookmarkStart w:id="137" w:name="_Toc73108691"/>
      <w:r w:rsidRPr="00885A57">
        <w:rPr>
          <w:rFonts w:ascii="Times New Roman" w:hAnsi="Times New Roman"/>
        </w:rPr>
        <w:t>Article 22</w:t>
      </w:r>
      <w:bookmarkStart w:id="138" w:name="_Toc55900600"/>
      <w:r w:rsidR="00B645D5" w:rsidRPr="00885A57">
        <w:rPr>
          <w:rFonts w:ascii="Times New Roman" w:hAnsi="Times New Roman"/>
        </w:rPr>
        <w:t xml:space="preserve">: </w:t>
      </w:r>
      <w:r w:rsidRPr="00885A57">
        <w:rPr>
          <w:rFonts w:ascii="Times New Roman" w:hAnsi="Times New Roman"/>
        </w:rPr>
        <w:t>Respect for privacy</w:t>
      </w:r>
      <w:bookmarkEnd w:id="137"/>
      <w:r w:rsidR="0078791A" w:rsidRPr="00885A57">
        <w:rPr>
          <w:rFonts w:ascii="Times New Roman" w:hAnsi="Times New Roman"/>
        </w:rPr>
        <w:tab/>
      </w:r>
      <w:r w:rsidR="0078791A" w:rsidRPr="00885A57">
        <w:rPr>
          <w:rFonts w:ascii="Times New Roman" w:hAnsi="Times New Roman"/>
        </w:rPr>
        <w:tab/>
      </w:r>
      <w:r w:rsidR="0078791A" w:rsidRPr="00885A57">
        <w:rPr>
          <w:rFonts w:ascii="Times New Roman" w:hAnsi="Times New Roman"/>
        </w:rPr>
        <w:tab/>
      </w:r>
      <w:r w:rsidR="0078791A" w:rsidRPr="00885A57">
        <w:rPr>
          <w:rFonts w:ascii="Times New Roman" w:hAnsi="Times New Roman"/>
        </w:rPr>
        <w:tab/>
      </w:r>
      <w:r w:rsidR="0078791A" w:rsidRPr="00885A57">
        <w:rPr>
          <w:rFonts w:ascii="Times New Roman" w:hAnsi="Times New Roman"/>
        </w:rPr>
        <w:tab/>
      </w:r>
      <w:r w:rsidR="0078791A" w:rsidRPr="00885A57">
        <w:rPr>
          <w:rFonts w:ascii="Times New Roman" w:hAnsi="Times New Roman"/>
        </w:rPr>
        <w:tab/>
      </w:r>
      <w:r w:rsidR="0078791A" w:rsidRPr="00885A57">
        <w:rPr>
          <w:rFonts w:ascii="Times New Roman" w:hAnsi="Times New Roman"/>
        </w:rPr>
        <w:tab/>
      </w:r>
      <w:r w:rsidR="0078791A" w:rsidRPr="00885A57">
        <w:rPr>
          <w:rFonts w:ascii="Times New Roman" w:hAnsi="Times New Roman"/>
        </w:rPr>
        <w:tab/>
      </w:r>
      <w:r w:rsidR="0078791A" w:rsidRPr="00885A57">
        <w:rPr>
          <w:rFonts w:ascii="Times New Roman" w:hAnsi="Times New Roman"/>
        </w:rPr>
        <w:tab/>
      </w:r>
      <w:bookmarkEnd w:id="138"/>
    </w:p>
    <w:p w14:paraId="73654863" w14:textId="69A6900E" w:rsidR="00A9373B" w:rsidRPr="00D63A58" w:rsidRDefault="00EE7E37" w:rsidP="00C50226">
      <w:pPr>
        <w:pStyle w:val="a7"/>
        <w:numPr>
          <w:ilvl w:val="0"/>
          <w:numId w:val="45"/>
        </w:numPr>
        <w:spacing w:after="120" w:line="360" w:lineRule="auto"/>
        <w:ind w:leftChars="0" w:left="567" w:hanging="567"/>
        <w:jc w:val="both"/>
        <w:rPr>
          <w:rFonts w:ascii="Times New Roman" w:eastAsia="標楷體" w:hAnsi="Times New Roman" w:cs="Times New Roman"/>
        </w:rPr>
      </w:pPr>
      <w:r w:rsidRPr="00D63A58">
        <w:rPr>
          <w:rFonts w:ascii="Times New Roman" w:eastAsia="標楷體" w:hAnsi="Times New Roman" w:cs="Times New Roman"/>
          <w:szCs w:val="24"/>
        </w:rPr>
        <w:t xml:space="preserve">The </w:t>
      </w:r>
      <w:r w:rsidRPr="00D63A58">
        <w:rPr>
          <w:rFonts w:ascii="Times New Roman" w:eastAsia="標楷體" w:hAnsi="Times New Roman" w:cs="Times New Roman"/>
          <w:iCs/>
          <w:szCs w:val="24"/>
        </w:rPr>
        <w:t>Personal Data Protection Act</w:t>
      </w:r>
      <w:r w:rsidRPr="00D63A58">
        <w:rPr>
          <w:rFonts w:ascii="Times New Roman" w:eastAsia="標楷體" w:hAnsi="Times New Roman" w:cs="Times New Roman"/>
          <w:szCs w:val="24"/>
        </w:rPr>
        <w:t xml:space="preserve"> (hereinafter referred to as PDPA) in Taiwan contains general regulations on the collection, processing, and use of personal data. This act aims to </w:t>
      </w:r>
      <w:r w:rsidRPr="00D63A58">
        <w:rPr>
          <w:rFonts w:ascii="Times New Roman" w:hAnsi="Times New Roman" w:cs="Times New Roman"/>
          <w:szCs w:val="24"/>
        </w:rPr>
        <w:t xml:space="preserve">prevent </w:t>
      </w:r>
      <w:r w:rsidR="00D63A58">
        <w:rPr>
          <w:rFonts w:ascii="Times New Roman" w:hAnsi="Times New Roman" w:cs="Times New Roman" w:hint="eastAsia"/>
          <w:szCs w:val="24"/>
        </w:rPr>
        <w:t xml:space="preserve">infringement of </w:t>
      </w:r>
      <w:r w:rsidRPr="00D63A58">
        <w:rPr>
          <w:rFonts w:ascii="Times New Roman" w:eastAsia="標楷體" w:hAnsi="Times New Roman" w:cs="Times New Roman"/>
          <w:szCs w:val="24"/>
        </w:rPr>
        <w:t xml:space="preserve">personality rights and </w:t>
      </w:r>
      <w:r w:rsidRPr="00D63A58">
        <w:rPr>
          <w:rFonts w:ascii="Times New Roman" w:hAnsi="Times New Roman" w:cs="Times New Roman"/>
          <w:szCs w:val="24"/>
        </w:rPr>
        <w:t xml:space="preserve">to facilitate the proper </w:t>
      </w:r>
      <w:r w:rsidRPr="00D63A58">
        <w:rPr>
          <w:rFonts w:ascii="Times New Roman" w:eastAsia="標楷體" w:hAnsi="Times New Roman" w:cs="Times New Roman"/>
          <w:szCs w:val="24"/>
        </w:rPr>
        <w:t xml:space="preserve">use of personal data. The PDPA </w:t>
      </w:r>
      <w:r w:rsidR="00D63A58">
        <w:rPr>
          <w:rFonts w:ascii="Times New Roman" w:eastAsia="標楷體" w:hAnsi="Times New Roman" w:cs="Times New Roman"/>
          <w:szCs w:val="24"/>
        </w:rPr>
        <w:t xml:space="preserve">requires that </w:t>
      </w:r>
      <w:r w:rsidR="000A7889" w:rsidRPr="00D63A58">
        <w:rPr>
          <w:rFonts w:ascii="Times New Roman" w:hAnsi="Times New Roman" w:cs="Times New Roman"/>
          <w:szCs w:val="24"/>
        </w:rPr>
        <w:t xml:space="preserve">government </w:t>
      </w:r>
      <w:r w:rsidRPr="00D63A58">
        <w:rPr>
          <w:rFonts w:ascii="Times New Roman" w:hAnsi="Times New Roman" w:cs="Times New Roman"/>
          <w:szCs w:val="24"/>
        </w:rPr>
        <w:t xml:space="preserve">agencies </w:t>
      </w:r>
      <w:r w:rsidRPr="00D63A58">
        <w:rPr>
          <w:rFonts w:ascii="Times New Roman" w:eastAsia="標楷體" w:hAnsi="Times New Roman" w:cs="Times New Roman"/>
          <w:szCs w:val="24"/>
        </w:rPr>
        <w:t xml:space="preserve">and </w:t>
      </w:r>
      <w:r w:rsidR="003F6195">
        <w:rPr>
          <w:rFonts w:ascii="Times New Roman" w:hAnsi="Times New Roman" w:cs="Times New Roman"/>
          <w:szCs w:val="24"/>
        </w:rPr>
        <w:t xml:space="preserve">NGOs </w:t>
      </w:r>
      <w:r w:rsidRPr="00D63A58">
        <w:rPr>
          <w:rFonts w:ascii="Times New Roman" w:eastAsia="標楷體" w:hAnsi="Times New Roman" w:cs="Times New Roman"/>
          <w:szCs w:val="24"/>
        </w:rPr>
        <w:t xml:space="preserve">state a specific purpose and comply with legal </w:t>
      </w:r>
      <w:r w:rsidRPr="00D63A58">
        <w:rPr>
          <w:rFonts w:ascii="Times New Roman" w:hAnsi="Times New Roman" w:cs="Times New Roman"/>
          <w:szCs w:val="24"/>
        </w:rPr>
        <w:t xml:space="preserve">grounds </w:t>
      </w:r>
      <w:r w:rsidRPr="00D63A58">
        <w:rPr>
          <w:rFonts w:ascii="Times New Roman" w:eastAsia="標楷體" w:hAnsi="Times New Roman" w:cs="Times New Roman"/>
          <w:szCs w:val="24"/>
        </w:rPr>
        <w:t xml:space="preserve">and proportionality when collecting, processing, and using personal data; the law also entitles the data subject in question to make </w:t>
      </w:r>
      <w:r w:rsidRPr="00D63A58">
        <w:rPr>
          <w:rFonts w:ascii="Times New Roman" w:hAnsi="Times New Roman" w:cs="Times New Roman"/>
          <w:szCs w:val="24"/>
        </w:rPr>
        <w:t xml:space="preserve">an </w:t>
      </w:r>
      <w:r w:rsidRPr="00D63A58">
        <w:rPr>
          <w:rFonts w:ascii="Times New Roman" w:eastAsia="標楷體" w:hAnsi="Times New Roman" w:cs="Times New Roman"/>
          <w:szCs w:val="24"/>
        </w:rPr>
        <w:t xml:space="preserve">inquiry of, </w:t>
      </w:r>
      <w:r w:rsidRPr="00D63A58">
        <w:rPr>
          <w:rFonts w:ascii="Times New Roman" w:hAnsi="Times New Roman" w:cs="Times New Roman"/>
          <w:szCs w:val="24"/>
        </w:rPr>
        <w:t>review</w:t>
      </w:r>
      <w:r w:rsidRPr="00D63A58">
        <w:rPr>
          <w:rFonts w:ascii="Times New Roman" w:eastAsia="標楷體" w:hAnsi="Times New Roman" w:cs="Times New Roman"/>
          <w:szCs w:val="24"/>
        </w:rPr>
        <w:t xml:space="preserve">, correct, and </w:t>
      </w:r>
      <w:r w:rsidRPr="00D63A58">
        <w:rPr>
          <w:rFonts w:ascii="Times New Roman" w:hAnsi="Times New Roman" w:cs="Times New Roman"/>
          <w:szCs w:val="24"/>
        </w:rPr>
        <w:t xml:space="preserve">erase </w:t>
      </w:r>
      <w:r w:rsidRPr="00D63A58">
        <w:rPr>
          <w:rFonts w:ascii="Times New Roman" w:eastAsia="標楷體" w:hAnsi="Times New Roman" w:cs="Times New Roman"/>
          <w:szCs w:val="24"/>
        </w:rPr>
        <w:t>personal data.</w:t>
      </w:r>
    </w:p>
    <w:p w14:paraId="2B3D706D" w14:textId="5FC22E81" w:rsidR="006F42F4" w:rsidRPr="00885A57" w:rsidRDefault="00474FFE" w:rsidP="00C50226">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The </w:t>
      </w:r>
      <w:r w:rsidRPr="002153DE">
        <w:rPr>
          <w:rFonts w:ascii="Times New Roman" w:eastAsia="標楷體" w:hAnsi="Times New Roman" w:cs="Times New Roman"/>
          <w:iCs/>
          <w:szCs w:val="24"/>
        </w:rPr>
        <w:t>Mental Health Act</w:t>
      </w:r>
      <w:r w:rsidRPr="00885A57">
        <w:rPr>
          <w:rFonts w:ascii="Times New Roman" w:eastAsia="標楷體" w:hAnsi="Times New Roman" w:cs="Times New Roman"/>
          <w:szCs w:val="24"/>
        </w:rPr>
        <w:t xml:space="preserve"> stipulates that without the consent </w:t>
      </w:r>
      <w:r w:rsidR="00D63A58">
        <w:rPr>
          <w:rFonts w:ascii="Times New Roman" w:eastAsia="標楷體" w:hAnsi="Times New Roman" w:cs="Times New Roman"/>
          <w:szCs w:val="24"/>
        </w:rPr>
        <w:t xml:space="preserve">of </w:t>
      </w:r>
      <w:r w:rsidRPr="00885A57">
        <w:rPr>
          <w:rFonts w:ascii="Times New Roman" w:eastAsia="標楷體" w:hAnsi="Times New Roman" w:cs="Times New Roman"/>
          <w:szCs w:val="24"/>
        </w:rPr>
        <w:t xml:space="preserve">a patient, audio recordings, video recordings, or photographs of the patient may not be acquired and the name or domicile (residence) of the patient may not be reported. For severe patients, their </w:t>
      </w:r>
      <w:r w:rsidR="00D63A58">
        <w:rPr>
          <w:rFonts w:ascii="Times New Roman" w:eastAsia="標楷體" w:hAnsi="Times New Roman" w:cs="Times New Roman"/>
          <w:szCs w:val="24"/>
        </w:rPr>
        <w:t xml:space="preserve">guardians will be </w:t>
      </w:r>
      <w:r w:rsidRPr="00885A57">
        <w:rPr>
          <w:rFonts w:ascii="Times New Roman" w:eastAsia="標楷體" w:hAnsi="Times New Roman" w:cs="Times New Roman"/>
          <w:szCs w:val="24"/>
        </w:rPr>
        <w:t xml:space="preserve">informed before such actions are </w:t>
      </w:r>
      <w:r w:rsidR="00D63A58">
        <w:rPr>
          <w:rFonts w:ascii="Times New Roman" w:eastAsia="標楷體" w:hAnsi="Times New Roman" w:cs="Times New Roman"/>
          <w:szCs w:val="24"/>
        </w:rPr>
        <w:t>taken</w:t>
      </w:r>
      <w:r w:rsidRPr="00885A57">
        <w:rPr>
          <w:rFonts w:ascii="Times New Roman" w:eastAsia="標楷體" w:hAnsi="Times New Roman" w:cs="Times New Roman"/>
          <w:szCs w:val="24"/>
        </w:rPr>
        <w:t>.</w:t>
      </w:r>
    </w:p>
    <w:p w14:paraId="645E1F90" w14:textId="1AA01A15" w:rsidR="005A6C9A" w:rsidRPr="00885A57" w:rsidRDefault="00BB1083"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39" w:name="_Ref55912263"/>
      <w:r>
        <w:rPr>
          <w:rFonts w:ascii="Times New Roman" w:eastAsia="標楷體" w:hAnsi="Times New Roman" w:cs="Times New Roman"/>
          <w:szCs w:val="24"/>
        </w:rPr>
        <w:t xml:space="preserve">While there is a need to connect </w:t>
      </w:r>
      <w:r w:rsidR="00474FFE" w:rsidRPr="00885A57">
        <w:rPr>
          <w:rFonts w:ascii="Times New Roman" w:eastAsia="標楷體" w:hAnsi="Times New Roman" w:cs="Times New Roman"/>
          <w:szCs w:val="24"/>
        </w:rPr>
        <w:t xml:space="preserve">data across various authorities for national policy development purposes, a balance between the privacy of </w:t>
      </w:r>
      <w:r w:rsidR="00474FFE" w:rsidRPr="00885A57">
        <w:rPr>
          <w:rFonts w:ascii="Times New Roman" w:eastAsia="標楷體" w:hAnsi="Times New Roman" w:cs="Times New Roman"/>
          <w:kern w:val="0"/>
          <w:szCs w:val="24"/>
        </w:rPr>
        <w:t>people</w:t>
      </w:r>
      <w:r w:rsidR="00474FFE" w:rsidRPr="00885A57">
        <w:rPr>
          <w:rFonts w:ascii="Times New Roman" w:eastAsia="標楷體" w:hAnsi="Times New Roman" w:cs="Times New Roman"/>
          <w:szCs w:val="24"/>
        </w:rPr>
        <w:t xml:space="preserve"> with disabilities and statistical data collection is imperative. In accordance with the PDPA, the MOHW meticulously reviews requests</w:t>
      </w:r>
      <w:r>
        <w:rPr>
          <w:rFonts w:ascii="Times New Roman" w:eastAsia="標楷體" w:hAnsi="Times New Roman" w:cs="Times New Roman"/>
          <w:szCs w:val="24"/>
        </w:rPr>
        <w:t xml:space="preserve"> </w:t>
      </w:r>
      <w:r w:rsidR="00474FFE" w:rsidRPr="00885A57">
        <w:rPr>
          <w:rFonts w:ascii="Times New Roman" w:eastAsia="標楷體" w:hAnsi="Times New Roman" w:cs="Times New Roman"/>
          <w:szCs w:val="24"/>
        </w:rPr>
        <w:t xml:space="preserve">submitted by </w:t>
      </w:r>
      <w:r w:rsidR="003E6F92">
        <w:rPr>
          <w:rFonts w:ascii="Times New Roman" w:eastAsia="標楷體" w:hAnsi="Times New Roman" w:cs="Times New Roman"/>
          <w:szCs w:val="24"/>
        </w:rPr>
        <w:t>government</w:t>
      </w:r>
      <w:r w:rsidR="00474FFE" w:rsidRPr="00885A57">
        <w:rPr>
          <w:rFonts w:ascii="Times New Roman" w:eastAsia="標楷體" w:hAnsi="Times New Roman" w:cs="Times New Roman"/>
          <w:szCs w:val="24"/>
        </w:rPr>
        <w:t xml:space="preserve"> agencies and academic institutions</w:t>
      </w:r>
      <w:r w:rsidR="00474FFE" w:rsidRPr="00885A57">
        <w:rPr>
          <w:rFonts w:ascii="Times New Roman" w:eastAsia="標楷體" w:hAnsi="Times New Roman" w:cs="Times New Roman"/>
          <w:szCs w:val="24"/>
        </w:rPr>
        <w:softHyphen/>
      </w:r>
      <w:r>
        <w:rPr>
          <w:rFonts w:ascii="Times New Roman" w:eastAsia="標楷體" w:hAnsi="Times New Roman" w:cs="Times New Roman"/>
          <w:szCs w:val="24"/>
        </w:rPr>
        <w:t xml:space="preserve"> to use and connect </w:t>
      </w:r>
      <w:r w:rsidR="00474FFE" w:rsidRPr="00885A57">
        <w:rPr>
          <w:rFonts w:ascii="Times New Roman" w:eastAsia="標楷體" w:hAnsi="Times New Roman" w:cs="Times New Roman"/>
          <w:szCs w:val="24"/>
        </w:rPr>
        <w:t xml:space="preserve">the personal data of </w:t>
      </w:r>
      <w:r w:rsidR="00474FFE" w:rsidRPr="00885A57">
        <w:rPr>
          <w:rFonts w:ascii="Times New Roman" w:eastAsia="標楷體" w:hAnsi="Times New Roman" w:cs="Times New Roman"/>
          <w:kern w:val="0"/>
          <w:szCs w:val="24"/>
        </w:rPr>
        <w:t>people</w:t>
      </w:r>
      <w:r w:rsidR="00474FFE" w:rsidRPr="00885A57">
        <w:rPr>
          <w:rFonts w:ascii="Times New Roman" w:eastAsia="標楷體" w:hAnsi="Times New Roman" w:cs="Times New Roman"/>
          <w:szCs w:val="24"/>
        </w:rPr>
        <w:t xml:space="preserve"> with disabilities and provides deidentified data for approved requests. When conducting statistical investigations according to relevant regulations, personnel </w:t>
      </w:r>
      <w:r w:rsidR="00474FFE" w:rsidRPr="00885A57">
        <w:rPr>
          <w:rFonts w:ascii="Times New Roman" w:eastAsia="標楷體" w:hAnsi="Times New Roman" w:cs="Times New Roman"/>
          <w:szCs w:val="24"/>
        </w:rPr>
        <w:lastRenderedPageBreak/>
        <w:t xml:space="preserve">must keep the personal data of those being investigated confidential to protect citizens’ privacy pursuant to the </w:t>
      </w:r>
      <w:r w:rsidR="00474FFE" w:rsidRPr="002153DE">
        <w:rPr>
          <w:rFonts w:ascii="Times New Roman" w:eastAsia="標楷體" w:hAnsi="Times New Roman" w:cs="Times New Roman"/>
          <w:iCs/>
          <w:szCs w:val="24"/>
        </w:rPr>
        <w:t xml:space="preserve">Enforcement Rules of </w:t>
      </w:r>
      <w:r w:rsidR="00DB02E9" w:rsidRPr="002153DE">
        <w:rPr>
          <w:rFonts w:ascii="Times New Roman" w:eastAsia="標楷體" w:hAnsi="Times New Roman" w:cs="Times New Roman"/>
          <w:iCs/>
          <w:szCs w:val="24"/>
        </w:rPr>
        <w:t xml:space="preserve">the </w:t>
      </w:r>
      <w:r w:rsidR="00474FFE" w:rsidRPr="002153DE">
        <w:rPr>
          <w:rFonts w:ascii="Times New Roman" w:eastAsia="標楷體" w:hAnsi="Times New Roman" w:cs="Times New Roman"/>
          <w:iCs/>
          <w:szCs w:val="24"/>
        </w:rPr>
        <w:t>Statistics Act</w:t>
      </w:r>
      <w:r w:rsidR="00474FFE" w:rsidRPr="00885A57">
        <w:rPr>
          <w:rFonts w:ascii="Times New Roman" w:eastAsia="標楷體" w:hAnsi="Times New Roman" w:cs="Times New Roman"/>
          <w:szCs w:val="24"/>
        </w:rPr>
        <w:t xml:space="preserve">. When collecting the personal data of students with disabilities according to relevant regulations, the MOE and schools shall abide by the </w:t>
      </w:r>
      <w:r w:rsidR="00474FFE" w:rsidRPr="002153DE">
        <w:rPr>
          <w:rFonts w:ascii="Times New Roman" w:eastAsia="標楷體" w:hAnsi="Times New Roman" w:cs="Times New Roman"/>
          <w:iCs/>
          <w:szCs w:val="24"/>
        </w:rPr>
        <w:t>Cyber Security Management Act</w:t>
      </w:r>
      <w:r w:rsidR="00474FFE" w:rsidRPr="00885A57">
        <w:rPr>
          <w:rFonts w:ascii="Times New Roman" w:eastAsia="標楷體" w:hAnsi="Times New Roman" w:cs="Times New Roman"/>
          <w:szCs w:val="24"/>
        </w:rPr>
        <w:t xml:space="preserve"> and </w:t>
      </w:r>
      <w:r w:rsidR="008825A1">
        <w:rPr>
          <w:rFonts w:ascii="Times New Roman" w:eastAsia="標楷體" w:hAnsi="Times New Roman" w:cs="Times New Roman"/>
          <w:szCs w:val="24"/>
        </w:rPr>
        <w:t xml:space="preserve">the </w:t>
      </w:r>
      <w:r w:rsidR="00474FFE" w:rsidRPr="00885A57">
        <w:rPr>
          <w:rFonts w:ascii="Times New Roman" w:eastAsia="標楷體" w:hAnsi="Times New Roman" w:cs="Times New Roman"/>
          <w:szCs w:val="24"/>
        </w:rPr>
        <w:t>PDPA and add relevant reminders to data compilation systems.</w:t>
      </w:r>
      <w:bookmarkEnd w:id="139"/>
      <w:r w:rsidR="00474FFE" w:rsidRPr="00885A57">
        <w:rPr>
          <w:rFonts w:ascii="Times New Roman" w:eastAsia="標楷體" w:hAnsi="Times New Roman" w:cs="Times New Roman"/>
          <w:vertAlign w:val="superscript"/>
        </w:rPr>
        <w:footnoteReference w:id="86"/>
      </w:r>
    </w:p>
    <w:p w14:paraId="7907A04E" w14:textId="32414C0A" w:rsidR="000361C0" w:rsidRPr="00885A57" w:rsidRDefault="00A76F92"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protect </w:t>
      </w:r>
      <w:r w:rsidR="008825A1">
        <w:rPr>
          <w:rFonts w:ascii="Times New Roman" w:eastAsia="標楷體" w:hAnsi="Times New Roman" w:cs="Times New Roman"/>
          <w:szCs w:val="24"/>
        </w:rPr>
        <w:t xml:space="preserve">the privacy of citizens </w:t>
      </w:r>
      <w:r w:rsidRPr="00885A57">
        <w:rPr>
          <w:rFonts w:ascii="Times New Roman" w:eastAsia="標楷體" w:hAnsi="Times New Roman" w:cs="Times New Roman"/>
          <w:szCs w:val="24"/>
        </w:rPr>
        <w:t xml:space="preserve">seeking medical treatment, the MOHW has produced the </w:t>
      </w:r>
      <w:r w:rsidRPr="002153DE">
        <w:rPr>
          <w:rFonts w:ascii="Times New Roman" w:eastAsia="標楷體" w:hAnsi="Times New Roman" w:cs="Times New Roman"/>
          <w:iCs/>
          <w:szCs w:val="24"/>
        </w:rPr>
        <w:t>Directions for Requesting Data from the Insurer of National Health Insurance</w:t>
      </w:r>
      <w:r w:rsidRPr="00885A57">
        <w:rPr>
          <w:rStyle w:val="ab"/>
          <w:rFonts w:ascii="Times New Roman" w:eastAsia="標楷體" w:hAnsi="Times New Roman" w:cs="Times New Roman"/>
        </w:rPr>
        <w:footnoteReference w:id="87"/>
      </w:r>
      <w:r w:rsidRPr="00885A57">
        <w:rPr>
          <w:rFonts w:ascii="Times New Roman" w:eastAsia="標楷體" w:hAnsi="Times New Roman" w:cs="Times New Roman"/>
          <w:szCs w:val="24"/>
        </w:rPr>
        <w:t xml:space="preserve">and handles such data requests in accordance with the PDPA and relevant regulations. Said regulations apply to all </w:t>
      </w:r>
      <w:r w:rsidR="008825A1">
        <w:rPr>
          <w:rFonts w:ascii="Times New Roman" w:eastAsia="標楷體" w:hAnsi="Times New Roman" w:cs="Times New Roman"/>
          <w:szCs w:val="24"/>
        </w:rPr>
        <w:t xml:space="preserve">insured covered by the </w:t>
      </w:r>
      <w:r w:rsidRPr="00885A57">
        <w:rPr>
          <w:rFonts w:ascii="Times New Roman" w:eastAsia="標楷體" w:hAnsi="Times New Roman" w:cs="Times New Roman"/>
          <w:szCs w:val="24"/>
        </w:rPr>
        <w:t xml:space="preserve">NHI, including people with disabilities. An NHI certificate (i.e., NHI IC card) saves data </w:t>
      </w:r>
      <w:r w:rsidR="008825A1">
        <w:rPr>
          <w:rFonts w:ascii="Times New Roman" w:eastAsia="標楷體" w:hAnsi="Times New Roman" w:cs="Times New Roman"/>
          <w:szCs w:val="24"/>
        </w:rPr>
        <w:t xml:space="preserve">concerning </w:t>
      </w:r>
      <w:r w:rsidRPr="00885A57">
        <w:rPr>
          <w:rFonts w:ascii="Times New Roman" w:eastAsia="標楷體" w:hAnsi="Times New Roman" w:cs="Times New Roman"/>
          <w:szCs w:val="24"/>
        </w:rPr>
        <w:t>the last six medication</w:t>
      </w:r>
      <w:r w:rsidR="008825A1">
        <w:rPr>
          <w:rFonts w:ascii="Times New Roman" w:eastAsia="標楷體" w:hAnsi="Times New Roman" w:cs="Times New Roman"/>
          <w:szCs w:val="24"/>
        </w:rPr>
        <w:t>s</w:t>
      </w:r>
      <w:r w:rsidRPr="00885A57">
        <w:rPr>
          <w:rFonts w:ascii="Times New Roman" w:eastAsia="標楷體" w:hAnsi="Times New Roman" w:cs="Times New Roman"/>
          <w:szCs w:val="24"/>
        </w:rPr>
        <w:t xml:space="preserve"> </w:t>
      </w:r>
      <w:r w:rsidR="008825A1">
        <w:rPr>
          <w:rFonts w:ascii="Times New Roman" w:eastAsia="標楷體" w:hAnsi="Times New Roman" w:cs="Times New Roman"/>
          <w:szCs w:val="24"/>
        </w:rPr>
        <w:t xml:space="preserve">procured by </w:t>
      </w:r>
      <w:r w:rsidRPr="00885A57">
        <w:rPr>
          <w:rFonts w:ascii="Times New Roman" w:eastAsia="標楷體" w:hAnsi="Times New Roman" w:cs="Times New Roman"/>
          <w:szCs w:val="24"/>
        </w:rPr>
        <w:t xml:space="preserve">the insured for a physician to access in a subsequent appointment. Since 2013, patients’ medication records have been </w:t>
      </w:r>
      <w:r w:rsidR="008825A1">
        <w:rPr>
          <w:rFonts w:ascii="Times New Roman" w:eastAsia="標楷體" w:hAnsi="Times New Roman" w:cs="Times New Roman"/>
          <w:szCs w:val="24"/>
        </w:rPr>
        <w:t xml:space="preserve">available on </w:t>
      </w:r>
      <w:r w:rsidRPr="00885A57">
        <w:rPr>
          <w:rFonts w:ascii="Times New Roman" w:eastAsia="標楷體" w:hAnsi="Times New Roman" w:cs="Times New Roman"/>
          <w:szCs w:val="24"/>
        </w:rPr>
        <w:t>the NHI MediCloud System. Patients can apply to set a password for their NHI IC card</w:t>
      </w:r>
      <w:r w:rsidRPr="00885A57">
        <w:rPr>
          <w:rFonts w:ascii="Times New Roman" w:eastAsia="標楷體" w:hAnsi="Times New Roman" w:cs="Times New Roman"/>
          <w:vertAlign w:val="superscript"/>
        </w:rPr>
        <w:footnoteReference w:id="88"/>
      </w:r>
      <w:r w:rsidRPr="00885A57">
        <w:rPr>
          <w:rFonts w:ascii="Times New Roman" w:hAnsi="Times New Roman" w:cs="Times New Roman"/>
          <w:szCs w:val="24"/>
        </w:rPr>
        <w:t xml:space="preserve">, </w:t>
      </w:r>
      <w:r w:rsidRPr="00885A57">
        <w:rPr>
          <w:rFonts w:ascii="Times New Roman" w:eastAsia="標楷體" w:hAnsi="Times New Roman" w:cs="Times New Roman"/>
          <w:szCs w:val="24"/>
        </w:rPr>
        <w:t>and the password can also restrict physicians’ access to their records on the NHI MediCloud System.</w:t>
      </w:r>
      <w:r w:rsidRPr="00885A57">
        <w:rPr>
          <w:rFonts w:ascii="Times New Roman" w:eastAsia="標楷體" w:hAnsi="Times New Roman" w:cs="Times New Roman"/>
          <w:vertAlign w:val="superscript"/>
        </w:rPr>
        <w:footnoteReference w:id="89"/>
      </w:r>
      <w:r w:rsidRPr="00885A57">
        <w:rPr>
          <w:rFonts w:ascii="Times New Roman" w:eastAsia="標楷體" w:hAnsi="Times New Roman" w:cs="Times New Roman"/>
          <w:szCs w:val="24"/>
        </w:rPr>
        <w:t xml:space="preserve"> This password setting </w:t>
      </w:r>
      <w:r w:rsidRPr="00885A57">
        <w:rPr>
          <w:rFonts w:ascii="Times New Roman" w:eastAsia="標楷體" w:hAnsi="Times New Roman" w:cs="Times New Roman"/>
          <w:szCs w:val="24"/>
        </w:rPr>
        <w:lastRenderedPageBreak/>
        <w:t xml:space="preserve">function enables patients to decide whether to allow physicians and pharmacists to inquire into their medication records. Contracted medical care institutions </w:t>
      </w:r>
      <w:r w:rsidR="008825A1">
        <w:rPr>
          <w:rFonts w:ascii="Times New Roman" w:eastAsia="標楷體" w:hAnsi="Times New Roman" w:cs="Times New Roman"/>
          <w:szCs w:val="24"/>
        </w:rPr>
        <w:t xml:space="preserve">may </w:t>
      </w:r>
      <w:r w:rsidRPr="00885A57">
        <w:rPr>
          <w:rFonts w:ascii="Times New Roman" w:eastAsia="標楷體" w:hAnsi="Times New Roman" w:cs="Times New Roman"/>
          <w:szCs w:val="24"/>
        </w:rPr>
        <w:t xml:space="preserve">not force patients to provide their passwords or refuse to provide medical services without due reason; if </w:t>
      </w:r>
      <w:r w:rsidR="008825A1">
        <w:rPr>
          <w:rFonts w:ascii="Times New Roman" w:eastAsia="標楷體" w:hAnsi="Times New Roman" w:cs="Times New Roman"/>
          <w:szCs w:val="24"/>
        </w:rPr>
        <w:t xml:space="preserve">a </w:t>
      </w:r>
      <w:r w:rsidRPr="00885A57">
        <w:rPr>
          <w:rFonts w:ascii="Times New Roman" w:eastAsia="標楷體" w:hAnsi="Times New Roman" w:cs="Times New Roman"/>
          <w:szCs w:val="24"/>
        </w:rPr>
        <w:t xml:space="preserve">batch download of medication data </w:t>
      </w:r>
      <w:r w:rsidR="008825A1">
        <w:rPr>
          <w:rFonts w:ascii="Times New Roman" w:eastAsia="標楷體" w:hAnsi="Times New Roman" w:cs="Times New Roman"/>
          <w:szCs w:val="24"/>
        </w:rPr>
        <w:t xml:space="preserve">from </w:t>
      </w:r>
      <w:r w:rsidRPr="00885A57">
        <w:rPr>
          <w:rFonts w:ascii="Times New Roman" w:eastAsia="標楷體" w:hAnsi="Times New Roman" w:cs="Times New Roman"/>
          <w:szCs w:val="24"/>
        </w:rPr>
        <w:t xml:space="preserve">the NHI MediCloud System is </w:t>
      </w:r>
      <w:r w:rsidR="008825A1">
        <w:rPr>
          <w:rFonts w:ascii="Times New Roman" w:eastAsia="標楷體" w:hAnsi="Times New Roman" w:cs="Times New Roman"/>
          <w:szCs w:val="24"/>
        </w:rPr>
        <w:t>necessary</w:t>
      </w:r>
      <w:r w:rsidRPr="00885A57">
        <w:rPr>
          <w:rFonts w:ascii="Times New Roman" w:eastAsia="標楷體" w:hAnsi="Times New Roman" w:cs="Times New Roman"/>
          <w:szCs w:val="24"/>
        </w:rPr>
        <w:t>, contracted medical care institutions must obtain the consent of the patients in question, sign an agreement concerning medication data use, promise to abide by the PDPA and information</w:t>
      </w:r>
      <w:r w:rsidR="003F6195">
        <w:rPr>
          <w:rFonts w:ascii="Times New Roman" w:eastAsia="標楷體" w:hAnsi="Times New Roman" w:cs="Times New Roman"/>
          <w:szCs w:val="24"/>
        </w:rPr>
        <w:t xml:space="preserve"> </w:t>
      </w:r>
      <w:r w:rsidRPr="00885A57">
        <w:rPr>
          <w:rFonts w:ascii="Times New Roman" w:eastAsia="標楷體" w:hAnsi="Times New Roman" w:cs="Times New Roman"/>
          <w:szCs w:val="24"/>
        </w:rPr>
        <w:t>security regulations, submit a checklist of information security protocols within the institution, and inform patients of data use purposes.</w:t>
      </w:r>
    </w:p>
    <w:p w14:paraId="24255D97" w14:textId="7BD20A2B" w:rsidR="00FC36FD" w:rsidRPr="00885A57" w:rsidRDefault="00A76F92" w:rsidP="006E6627">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40" w:name="_Ref55912453"/>
      <w:r w:rsidRPr="00885A57">
        <w:rPr>
          <w:rFonts w:ascii="Times New Roman" w:eastAsia="標楷體" w:hAnsi="Times New Roman" w:cs="Times New Roman"/>
          <w:szCs w:val="24"/>
        </w:rPr>
        <w:t xml:space="preserve">According to the </w:t>
      </w:r>
      <w:r w:rsidRPr="002153DE">
        <w:rPr>
          <w:rFonts w:ascii="Times New Roman" w:eastAsia="標楷體" w:hAnsi="Times New Roman" w:cs="Times New Roman"/>
          <w:iCs/>
          <w:szCs w:val="24"/>
        </w:rPr>
        <w:t>Psychiatric Hospital Accreditation Criteria</w:t>
      </w:r>
      <w:r w:rsidRPr="00885A57">
        <w:rPr>
          <w:rFonts w:ascii="Times New Roman" w:eastAsia="標楷體" w:hAnsi="Times New Roman" w:cs="Times New Roman"/>
          <w:szCs w:val="24"/>
        </w:rPr>
        <w:t xml:space="preserve">, </w:t>
      </w:r>
      <w:r w:rsidR="008825A1">
        <w:rPr>
          <w:rFonts w:ascii="Times New Roman" w:eastAsia="標楷體" w:hAnsi="Times New Roman" w:cs="Times New Roman"/>
          <w:szCs w:val="24"/>
        </w:rPr>
        <w:t xml:space="preserve">an organization’s IT </w:t>
      </w:r>
      <w:r w:rsidRPr="00885A57">
        <w:rPr>
          <w:rFonts w:ascii="Times New Roman" w:eastAsia="標楷體" w:hAnsi="Times New Roman" w:cs="Times New Roman"/>
          <w:szCs w:val="24"/>
        </w:rPr>
        <w:t xml:space="preserve">department </w:t>
      </w:r>
      <w:r w:rsidR="008825A1">
        <w:rPr>
          <w:rFonts w:ascii="Times New Roman" w:eastAsia="標楷體" w:hAnsi="Times New Roman" w:cs="Times New Roman"/>
          <w:szCs w:val="24"/>
        </w:rPr>
        <w:t xml:space="preserve">must </w:t>
      </w:r>
      <w:r w:rsidRPr="00885A57">
        <w:rPr>
          <w:rFonts w:ascii="Times New Roman" w:eastAsia="標楷體" w:hAnsi="Times New Roman" w:cs="Times New Roman"/>
          <w:szCs w:val="24"/>
        </w:rPr>
        <w:t>cooperate with clinical and administrative departments to establish a comprehensive operational system and ensure favorable cross-system connections and external contact systems to safeguard information security and protect patient privacy; the criteria also stipulate emergency responses. Between 2015 and 2019, the percentage of hospitals meeting said criteria was 96.67</w:t>
      </w:r>
      <w:r w:rsidR="00787A2A">
        <w:rPr>
          <w:rFonts w:ascii="Times New Roman" w:eastAsia="標楷體" w:hAnsi="Times New Roman" w:cs="Times New Roman"/>
          <w:szCs w:val="24"/>
        </w:rPr>
        <w:t xml:space="preserve"> percent</w:t>
      </w:r>
      <w:r w:rsidRPr="00885A57">
        <w:rPr>
          <w:rStyle w:val="ab"/>
          <w:rFonts w:ascii="Times New Roman" w:eastAsia="標楷體" w:hAnsi="Times New Roman" w:cs="Times New Roman"/>
          <w:szCs w:val="24"/>
          <w:vertAlign w:val="baseline"/>
        </w:rPr>
        <w:t>.</w:t>
      </w:r>
      <w:bookmarkEnd w:id="140"/>
      <w:r w:rsidRPr="00885A57">
        <w:rPr>
          <w:rStyle w:val="ab"/>
          <w:rFonts w:ascii="Times New Roman" w:eastAsia="標楷體" w:hAnsi="Times New Roman" w:cs="Times New Roman"/>
        </w:rPr>
        <w:footnoteReference w:id="90"/>
      </w:r>
    </w:p>
    <w:p w14:paraId="129952B2" w14:textId="58EB3D37" w:rsidR="00FC36FD" w:rsidRPr="00885A57" w:rsidRDefault="008825A1" w:rsidP="006E6627">
      <w:pPr>
        <w:pStyle w:val="a7"/>
        <w:numPr>
          <w:ilvl w:val="0"/>
          <w:numId w:val="45"/>
        </w:numPr>
        <w:spacing w:after="120" w:line="360" w:lineRule="auto"/>
        <w:ind w:leftChars="0" w:left="567" w:hanging="567"/>
        <w:jc w:val="both"/>
        <w:rPr>
          <w:rFonts w:ascii="Times New Roman" w:eastAsia="標楷體" w:hAnsi="Times New Roman" w:cs="Times New Roman"/>
        </w:rPr>
      </w:pPr>
      <w:r>
        <w:rPr>
          <w:rFonts w:ascii="Times New Roman" w:eastAsia="標楷體" w:hAnsi="Times New Roman" w:cs="Times New Roman"/>
          <w:szCs w:val="24"/>
        </w:rPr>
        <w:t xml:space="preserve">Within </w:t>
      </w:r>
      <w:r w:rsidR="00A76F92" w:rsidRPr="00885A57">
        <w:rPr>
          <w:rFonts w:ascii="Times New Roman" w:eastAsia="標楷體" w:hAnsi="Times New Roman" w:cs="Times New Roman"/>
          <w:szCs w:val="24"/>
        </w:rPr>
        <w:t xml:space="preserve">the assessment criteria </w:t>
      </w:r>
      <w:r>
        <w:rPr>
          <w:rFonts w:ascii="Times New Roman" w:eastAsia="標楷體" w:hAnsi="Times New Roman" w:cs="Times New Roman"/>
          <w:szCs w:val="24"/>
        </w:rPr>
        <w:t xml:space="preserve">for </w:t>
      </w:r>
      <w:r w:rsidR="00A76F92" w:rsidRPr="00885A57">
        <w:rPr>
          <w:rFonts w:ascii="Times New Roman" w:eastAsia="標楷體" w:hAnsi="Times New Roman" w:cs="Times New Roman"/>
          <w:szCs w:val="24"/>
        </w:rPr>
        <w:t xml:space="preserve">disabled welfare institutions, such institutions shall develop data management </w:t>
      </w:r>
      <w:r>
        <w:rPr>
          <w:rFonts w:ascii="Times New Roman" w:eastAsia="標楷體" w:hAnsi="Times New Roman" w:cs="Times New Roman"/>
          <w:szCs w:val="24"/>
        </w:rPr>
        <w:t xml:space="preserve">policies </w:t>
      </w:r>
      <w:r w:rsidR="00A76F92" w:rsidRPr="00885A57">
        <w:rPr>
          <w:rFonts w:ascii="Times New Roman" w:eastAsia="標楷體" w:hAnsi="Times New Roman" w:cs="Times New Roman"/>
          <w:szCs w:val="24"/>
        </w:rPr>
        <w:t xml:space="preserve">and </w:t>
      </w:r>
      <w:r>
        <w:rPr>
          <w:rFonts w:ascii="Times New Roman" w:eastAsia="標楷體" w:hAnsi="Times New Roman" w:cs="Times New Roman"/>
          <w:szCs w:val="24"/>
        </w:rPr>
        <w:t xml:space="preserve">employ </w:t>
      </w:r>
      <w:r w:rsidR="00A76F92" w:rsidRPr="00885A57">
        <w:rPr>
          <w:rFonts w:ascii="Times New Roman" w:eastAsia="標楷體" w:hAnsi="Times New Roman" w:cs="Times New Roman"/>
          <w:szCs w:val="24"/>
        </w:rPr>
        <w:t xml:space="preserve">regulations and privacy protection rules </w:t>
      </w:r>
      <w:r>
        <w:rPr>
          <w:rFonts w:ascii="Times New Roman" w:eastAsia="標楷體" w:hAnsi="Times New Roman" w:cs="Times New Roman"/>
          <w:szCs w:val="24"/>
        </w:rPr>
        <w:t xml:space="preserve">to </w:t>
      </w:r>
      <w:r w:rsidR="00A76F92" w:rsidRPr="00885A57">
        <w:rPr>
          <w:rFonts w:ascii="Times New Roman" w:eastAsia="標楷體" w:hAnsi="Times New Roman" w:cs="Times New Roman"/>
          <w:szCs w:val="24"/>
        </w:rPr>
        <w:t xml:space="preserve">employee job descriptions. These rules shall prohibit the installation of surveillance or recording equipment in private spaces (e.g., shower room, restroom, bedroom), ensure the implementation of use and management </w:t>
      </w:r>
      <w:r w:rsidR="00A76F92" w:rsidRPr="00885A57">
        <w:rPr>
          <w:rFonts w:ascii="Times New Roman" w:eastAsia="標楷體" w:hAnsi="Times New Roman" w:cs="Times New Roman"/>
          <w:szCs w:val="24"/>
        </w:rPr>
        <w:lastRenderedPageBreak/>
        <w:t xml:space="preserve">rules for surveillance videos, and require the development of privacy protection measures for employees conducting </w:t>
      </w:r>
      <w:r>
        <w:rPr>
          <w:rFonts w:ascii="Times New Roman" w:eastAsia="標楷體" w:hAnsi="Times New Roman" w:cs="Times New Roman"/>
          <w:szCs w:val="24"/>
        </w:rPr>
        <w:t xml:space="preserve">daily life </w:t>
      </w:r>
      <w:r w:rsidR="00A76F92" w:rsidRPr="00885A57">
        <w:rPr>
          <w:rFonts w:ascii="Times New Roman" w:eastAsia="標楷體" w:hAnsi="Times New Roman" w:cs="Times New Roman"/>
          <w:szCs w:val="24"/>
        </w:rPr>
        <w:t xml:space="preserve">duties (e.g., bathing, </w:t>
      </w:r>
      <w:r>
        <w:rPr>
          <w:rFonts w:ascii="Times New Roman" w:eastAsia="標楷體" w:hAnsi="Times New Roman" w:cs="Times New Roman"/>
          <w:szCs w:val="24"/>
        </w:rPr>
        <w:t>performing ablutions</w:t>
      </w:r>
      <w:r w:rsidR="00A76F92" w:rsidRPr="00885A57">
        <w:rPr>
          <w:rFonts w:ascii="Times New Roman" w:eastAsia="標楷體" w:hAnsi="Times New Roman" w:cs="Times New Roman"/>
          <w:szCs w:val="24"/>
        </w:rPr>
        <w:t xml:space="preserve">, </w:t>
      </w:r>
      <w:r>
        <w:rPr>
          <w:rFonts w:ascii="Times New Roman" w:eastAsia="標楷體" w:hAnsi="Times New Roman" w:cs="Times New Roman"/>
          <w:szCs w:val="24"/>
        </w:rPr>
        <w:t>changing clothes</w:t>
      </w:r>
      <w:r w:rsidR="00A76F92" w:rsidRPr="00885A57">
        <w:rPr>
          <w:rFonts w:ascii="Times New Roman" w:eastAsia="標楷體" w:hAnsi="Times New Roman" w:cs="Times New Roman"/>
          <w:szCs w:val="24"/>
        </w:rPr>
        <w:t xml:space="preserve">, and performing </w:t>
      </w:r>
      <w:r>
        <w:rPr>
          <w:rFonts w:ascii="Times New Roman" w:eastAsia="標楷體" w:hAnsi="Times New Roman" w:cs="Times New Roman"/>
          <w:szCs w:val="24"/>
        </w:rPr>
        <w:t>personal care</w:t>
      </w:r>
      <w:r w:rsidR="00A76F92" w:rsidRPr="00885A57">
        <w:rPr>
          <w:rFonts w:ascii="Times New Roman" w:eastAsia="標楷體" w:hAnsi="Times New Roman" w:cs="Times New Roman"/>
          <w:szCs w:val="24"/>
        </w:rPr>
        <w:t>). Mental health care institutions may install surveillance equipment for patient safety but shall inform patient</w:t>
      </w:r>
      <w:r>
        <w:rPr>
          <w:rFonts w:ascii="Times New Roman" w:eastAsia="標楷體" w:hAnsi="Times New Roman" w:cs="Times New Roman"/>
          <w:szCs w:val="24"/>
        </w:rPr>
        <w:t>s</w:t>
      </w:r>
      <w:r w:rsidR="00A76F92" w:rsidRPr="00885A57">
        <w:rPr>
          <w:rFonts w:ascii="Times New Roman" w:eastAsia="標楷體" w:hAnsi="Times New Roman" w:cs="Times New Roman"/>
          <w:szCs w:val="24"/>
        </w:rPr>
        <w:t xml:space="preserve"> in advance; for patients with severe conditions, their </w:t>
      </w:r>
      <w:r>
        <w:rPr>
          <w:rFonts w:ascii="Times New Roman" w:eastAsia="標楷體" w:hAnsi="Times New Roman" w:cs="Times New Roman"/>
          <w:szCs w:val="24"/>
        </w:rPr>
        <w:t xml:space="preserve">guardians </w:t>
      </w:r>
      <w:r w:rsidR="00A76F92" w:rsidRPr="00885A57">
        <w:rPr>
          <w:rFonts w:ascii="Times New Roman" w:eastAsia="標楷體" w:hAnsi="Times New Roman" w:cs="Times New Roman"/>
          <w:szCs w:val="24"/>
        </w:rPr>
        <w:t xml:space="preserve">must be informed of </w:t>
      </w:r>
      <w:r>
        <w:rPr>
          <w:rFonts w:ascii="Times New Roman" w:eastAsia="標楷體" w:hAnsi="Times New Roman" w:cs="Times New Roman"/>
          <w:szCs w:val="24"/>
        </w:rPr>
        <w:t xml:space="preserve">the </w:t>
      </w:r>
      <w:r w:rsidR="00A76F92" w:rsidRPr="00885A57">
        <w:rPr>
          <w:rFonts w:ascii="Times New Roman" w:eastAsia="標楷體" w:hAnsi="Times New Roman" w:cs="Times New Roman"/>
          <w:szCs w:val="24"/>
        </w:rPr>
        <w:t>proposed surveillance.</w:t>
      </w:r>
    </w:p>
    <w:p w14:paraId="4CB0800C" w14:textId="68921B0E" w:rsidR="00AE333D" w:rsidRPr="00885A57" w:rsidRDefault="0001641B" w:rsidP="00D45A46">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41" w:name="_Ref55912155"/>
      <w:r w:rsidRPr="00885A57">
        <w:rPr>
          <w:rFonts w:ascii="Times New Roman" w:eastAsia="標楷體" w:hAnsi="Times New Roman" w:cs="Times New Roman"/>
          <w:szCs w:val="24"/>
        </w:rPr>
        <w:t xml:space="preserve">To raise awareness of privacy protection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the Executive, Legislative, Judicial, Examination, and Control</w:t>
      </w:r>
      <w:r w:rsidR="003A0BB1">
        <w:rPr>
          <w:rFonts w:ascii="Times New Roman" w:eastAsia="標楷體" w:hAnsi="Times New Roman" w:cs="Times New Roman"/>
          <w:szCs w:val="24"/>
        </w:rPr>
        <w:t xml:space="preserve"> Yuans offer relevant </w:t>
      </w:r>
      <w:r w:rsidRPr="00885A57">
        <w:rPr>
          <w:rFonts w:ascii="Times New Roman" w:eastAsia="標楷體" w:hAnsi="Times New Roman" w:cs="Times New Roman"/>
          <w:szCs w:val="24"/>
        </w:rPr>
        <w:t xml:space="preserve">training programs every year. The Judicial Yuan continues to urge administrative judges to protect the privacy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when handling cases. In 2014, the Control Yuan </w:t>
      </w:r>
      <w:r w:rsidR="008825A1">
        <w:rPr>
          <w:rFonts w:ascii="Times New Roman" w:eastAsia="標楷體" w:hAnsi="Times New Roman" w:cs="Times New Roman"/>
          <w:szCs w:val="24"/>
        </w:rPr>
        <w:t xml:space="preserve">implemented the </w:t>
      </w:r>
      <w:r w:rsidRPr="00885A57">
        <w:rPr>
          <w:rFonts w:ascii="Times New Roman" w:eastAsia="標楷體" w:hAnsi="Times New Roman" w:cs="Times New Roman"/>
          <w:szCs w:val="24"/>
        </w:rPr>
        <w:t xml:space="preserve">Conclusions of Studies Regarding the Application of PDPA to Investigation Practices to ensure compliance with privacy principles during the course of investigations involving the privacy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w:t>
      </w:r>
      <w:bookmarkEnd w:id="141"/>
      <w:r w:rsidRPr="00885A57">
        <w:rPr>
          <w:rStyle w:val="ab"/>
          <w:rFonts w:ascii="Times New Roman" w:eastAsia="標楷體" w:hAnsi="Times New Roman" w:cs="Times New Roman"/>
        </w:rPr>
        <w:footnoteReference w:id="91"/>
      </w:r>
    </w:p>
    <w:p w14:paraId="23D40509" w14:textId="7C000566" w:rsidR="004D0200" w:rsidRPr="00885A57" w:rsidRDefault="0001641B"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42" w:name="_Ref55912501"/>
      <w:r w:rsidRPr="00885A57">
        <w:rPr>
          <w:rFonts w:ascii="Times New Roman" w:eastAsia="標楷體" w:hAnsi="Times New Roman" w:cs="Times New Roman"/>
          <w:szCs w:val="24"/>
        </w:rPr>
        <w:t>The MOHW has requested that local governments incorporate training programs into CRPD promotion project</w:t>
      </w:r>
      <w:r w:rsidR="008825A1">
        <w:rPr>
          <w:rFonts w:ascii="Times New Roman" w:eastAsia="標楷體" w:hAnsi="Times New Roman" w:cs="Times New Roman"/>
          <w:szCs w:val="24"/>
        </w:rPr>
        <w:t>s</w:t>
      </w:r>
      <w:r w:rsidRPr="00885A57">
        <w:rPr>
          <w:rFonts w:ascii="Times New Roman" w:eastAsia="標楷體" w:hAnsi="Times New Roman" w:cs="Times New Roman"/>
          <w:szCs w:val="24"/>
        </w:rPr>
        <w:t xml:space="preserve"> and cover at least one privacy protection topic annually. The ministry hosts annual basic training for community care visitors and public health nurses, through which the importance of protecting the privacy of patie</w:t>
      </w:r>
      <w:r w:rsidR="00D90441">
        <w:rPr>
          <w:rFonts w:ascii="Times New Roman" w:eastAsia="標楷體" w:hAnsi="Times New Roman" w:cs="Times New Roman"/>
          <w:szCs w:val="24"/>
        </w:rPr>
        <w:t>nts with psychosocial disabilities</w:t>
      </w:r>
      <w:r w:rsidRPr="00885A57">
        <w:rPr>
          <w:rFonts w:ascii="Times New Roman" w:eastAsia="標楷體" w:hAnsi="Times New Roman" w:cs="Times New Roman"/>
          <w:szCs w:val="24"/>
        </w:rPr>
        <w:t xml:space="preserve"> is emphasized. In 2019, the MOHW devised the </w:t>
      </w:r>
      <w:r w:rsidRPr="002153DE">
        <w:rPr>
          <w:rFonts w:ascii="Times New Roman" w:eastAsia="標楷體" w:hAnsi="Times New Roman" w:cs="Times New Roman"/>
          <w:iCs/>
          <w:szCs w:val="24"/>
        </w:rPr>
        <w:t>Safety Manual of Community Care and Case Management</w:t>
      </w:r>
      <w:r w:rsidRPr="00885A57">
        <w:rPr>
          <w:rFonts w:ascii="Times New Roman" w:eastAsia="標楷體" w:hAnsi="Times New Roman" w:cs="Times New Roman"/>
          <w:szCs w:val="24"/>
        </w:rPr>
        <w:t xml:space="preserve"> and stressed privacy protection in case management and services; the ministry has </w:t>
      </w:r>
      <w:r w:rsidRPr="00885A57">
        <w:rPr>
          <w:rFonts w:ascii="Times New Roman" w:eastAsia="標楷體" w:hAnsi="Times New Roman" w:cs="Times New Roman"/>
          <w:szCs w:val="24"/>
        </w:rPr>
        <w:lastRenderedPageBreak/>
        <w:t xml:space="preserve">also requested local health administrations to </w:t>
      </w:r>
      <w:r w:rsidR="008825A1">
        <w:rPr>
          <w:rFonts w:ascii="Times New Roman" w:eastAsia="標楷體" w:hAnsi="Times New Roman" w:cs="Times New Roman"/>
          <w:szCs w:val="24"/>
        </w:rPr>
        <w:t xml:space="preserve">improve </w:t>
      </w:r>
      <w:r w:rsidRPr="00885A57">
        <w:rPr>
          <w:rFonts w:ascii="Times New Roman" w:eastAsia="標楷體" w:hAnsi="Times New Roman" w:cs="Times New Roman"/>
          <w:szCs w:val="24"/>
        </w:rPr>
        <w:t>supervision of medical institutions and raise public attention of the importance of privacy protection for pat</w:t>
      </w:r>
      <w:r w:rsidR="00B81B50">
        <w:rPr>
          <w:rFonts w:ascii="Times New Roman" w:eastAsia="標楷體" w:hAnsi="Times New Roman" w:cs="Times New Roman"/>
          <w:szCs w:val="24"/>
        </w:rPr>
        <w:t>ients with psychiatric disabilities</w:t>
      </w:r>
      <w:r w:rsidRPr="00885A57">
        <w:rPr>
          <w:rFonts w:ascii="Times New Roman" w:eastAsia="標楷體" w:hAnsi="Times New Roman" w:cs="Times New Roman"/>
          <w:szCs w:val="24"/>
        </w:rPr>
        <w:t>.</w:t>
      </w:r>
      <w:bookmarkEnd w:id="142"/>
      <w:r w:rsidRPr="00885A57">
        <w:rPr>
          <w:rStyle w:val="ab"/>
          <w:rFonts w:ascii="Times New Roman" w:eastAsia="標楷體" w:hAnsi="Times New Roman" w:cs="Times New Roman"/>
        </w:rPr>
        <w:footnoteReference w:id="92"/>
      </w:r>
    </w:p>
    <w:p w14:paraId="69C75376" w14:textId="5988AF50" w:rsidR="00BF36BD" w:rsidRPr="00885A57" w:rsidRDefault="0001641B"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Through national conference</w:t>
      </w:r>
      <w:r w:rsidR="007A40E9">
        <w:rPr>
          <w:rFonts w:ascii="Times New Roman" w:eastAsia="標楷體" w:hAnsi="Times New Roman" w:cs="Times New Roman"/>
          <w:szCs w:val="24"/>
        </w:rPr>
        <w:t>s</w:t>
      </w:r>
      <w:r w:rsidRPr="00885A57">
        <w:rPr>
          <w:rFonts w:ascii="Times New Roman" w:eastAsia="標楷體" w:hAnsi="Times New Roman" w:cs="Times New Roman"/>
          <w:szCs w:val="24"/>
        </w:rPr>
        <w:t xml:space="preserve"> of special education division chiefs and of school principals, the MOE seeks to </w:t>
      </w:r>
      <w:r w:rsidR="007A40E9">
        <w:rPr>
          <w:rFonts w:ascii="Times New Roman" w:eastAsia="標楷體" w:hAnsi="Times New Roman" w:cs="Times New Roman"/>
          <w:szCs w:val="24"/>
        </w:rPr>
        <w:t xml:space="preserve">further promote </w:t>
      </w:r>
      <w:r w:rsidRPr="00885A57">
        <w:rPr>
          <w:rFonts w:ascii="Times New Roman" w:eastAsia="標楷體" w:hAnsi="Times New Roman" w:cs="Times New Roman"/>
          <w:szCs w:val="24"/>
        </w:rPr>
        <w:t>rules protecting personal data of students with disabilities among relevant personnel. The ministry, by designing technology-related courses in the newly developed 2019 curriculum guidelines for special education, has taken action to improve the information and technology literacy of students with disabilities and reinforce their awareness of privacy protection.</w:t>
      </w:r>
    </w:p>
    <w:p w14:paraId="544D1873" w14:textId="0BF82966" w:rsidR="00BB6DF4" w:rsidRPr="00885A57" w:rsidRDefault="00B676A8" w:rsidP="00C50226">
      <w:pPr>
        <w:pStyle w:val="10"/>
        <w:spacing w:after="120" w:line="360" w:lineRule="auto"/>
        <w:rPr>
          <w:rFonts w:ascii="Times New Roman" w:hAnsi="Times New Roman"/>
        </w:rPr>
      </w:pPr>
      <w:bookmarkStart w:id="143" w:name="_Toc73108692"/>
      <w:r w:rsidRPr="00885A57">
        <w:rPr>
          <w:rFonts w:ascii="Times New Roman" w:hAnsi="Times New Roman"/>
        </w:rPr>
        <w:t>Article 23</w:t>
      </w:r>
      <w:bookmarkStart w:id="144" w:name="_Toc55900602"/>
      <w:r w:rsidR="00B645D5" w:rsidRPr="00885A57">
        <w:rPr>
          <w:rFonts w:ascii="Times New Roman" w:hAnsi="Times New Roman"/>
        </w:rPr>
        <w:t xml:space="preserve">: </w:t>
      </w:r>
      <w:r w:rsidRPr="00885A57">
        <w:rPr>
          <w:rFonts w:ascii="Times New Roman" w:hAnsi="Times New Roman"/>
        </w:rPr>
        <w:t>Respect for home and the family</w:t>
      </w:r>
      <w:bookmarkEnd w:id="143"/>
      <w:r w:rsidR="00DA7FB8" w:rsidRPr="00885A57">
        <w:rPr>
          <w:rFonts w:ascii="Times New Roman" w:hAnsi="Times New Roman"/>
        </w:rPr>
        <w:tab/>
      </w:r>
      <w:r w:rsidR="00DA7FB8" w:rsidRPr="00885A57">
        <w:rPr>
          <w:rFonts w:ascii="Times New Roman" w:hAnsi="Times New Roman"/>
        </w:rPr>
        <w:tab/>
      </w:r>
      <w:r w:rsidR="00DA7FB8" w:rsidRPr="00885A57">
        <w:rPr>
          <w:rFonts w:ascii="Times New Roman" w:hAnsi="Times New Roman"/>
        </w:rPr>
        <w:tab/>
      </w:r>
      <w:r w:rsidR="00DA7FB8" w:rsidRPr="00885A57">
        <w:rPr>
          <w:rFonts w:ascii="Times New Roman" w:hAnsi="Times New Roman"/>
        </w:rPr>
        <w:tab/>
      </w:r>
      <w:r w:rsidR="00DA7FB8" w:rsidRPr="00885A57">
        <w:rPr>
          <w:rFonts w:ascii="Times New Roman" w:hAnsi="Times New Roman"/>
        </w:rPr>
        <w:tab/>
      </w:r>
      <w:r w:rsidR="00DA7FB8" w:rsidRPr="00885A57">
        <w:rPr>
          <w:rFonts w:ascii="Times New Roman" w:hAnsi="Times New Roman"/>
        </w:rPr>
        <w:tab/>
      </w:r>
      <w:r w:rsidR="00DA7FB8" w:rsidRPr="00885A57">
        <w:rPr>
          <w:rFonts w:ascii="Times New Roman" w:hAnsi="Times New Roman"/>
        </w:rPr>
        <w:tab/>
      </w:r>
      <w:r w:rsidR="00DA7FB8" w:rsidRPr="00885A57">
        <w:rPr>
          <w:rFonts w:ascii="Times New Roman" w:hAnsi="Times New Roman"/>
        </w:rPr>
        <w:tab/>
      </w:r>
      <w:bookmarkEnd w:id="144"/>
    </w:p>
    <w:p w14:paraId="70DA27C6" w14:textId="7E114975" w:rsidR="00FE5B2B" w:rsidRPr="00885A57" w:rsidRDefault="0001641B" w:rsidP="001A2139">
      <w:pPr>
        <w:pStyle w:val="a7"/>
        <w:numPr>
          <w:ilvl w:val="0"/>
          <w:numId w:val="45"/>
        </w:numPr>
        <w:spacing w:after="120" w:line="360" w:lineRule="auto"/>
        <w:ind w:leftChars="0" w:left="567" w:hanging="567"/>
        <w:jc w:val="both"/>
        <w:rPr>
          <w:rFonts w:ascii="Times New Roman" w:eastAsia="標楷體" w:hAnsi="Times New Roman" w:cs="Times New Roman"/>
          <w:sz w:val="20"/>
          <w:szCs w:val="28"/>
        </w:rPr>
      </w:pPr>
      <w:r w:rsidRPr="00885A57">
        <w:rPr>
          <w:rFonts w:ascii="Times New Roman" w:eastAsia="微軟正黑體" w:hAnsi="Times New Roman" w:cs="Times New Roman"/>
          <w:szCs w:val="24"/>
        </w:rPr>
        <w:t>Taiwan respects the rights to marriage, parenting, and family li</w:t>
      </w:r>
      <w:r w:rsidR="007A40E9">
        <w:rPr>
          <w:rFonts w:ascii="Times New Roman" w:eastAsia="微軟正黑體" w:hAnsi="Times New Roman" w:cs="Times New Roman"/>
          <w:szCs w:val="24"/>
        </w:rPr>
        <w:t>fe</w:t>
      </w:r>
      <w:r w:rsidRPr="00885A57">
        <w:rPr>
          <w:rFonts w:ascii="Times New Roman" w:eastAsia="微軟正黑體" w:hAnsi="Times New Roman" w:cs="Times New Roman"/>
          <w:szCs w:val="24"/>
        </w:rPr>
        <w:t xml:space="preserve"> of </w:t>
      </w:r>
      <w:r w:rsidRPr="00885A57">
        <w:rPr>
          <w:rFonts w:ascii="Times New Roman" w:eastAsia="標楷體" w:hAnsi="Times New Roman" w:cs="Times New Roman"/>
          <w:kern w:val="0"/>
          <w:szCs w:val="24"/>
        </w:rPr>
        <w:t>people</w:t>
      </w:r>
      <w:r w:rsidRPr="00885A57">
        <w:rPr>
          <w:rFonts w:ascii="Times New Roman" w:eastAsia="微軟正黑體" w:hAnsi="Times New Roman" w:cs="Times New Roman"/>
          <w:szCs w:val="24"/>
        </w:rPr>
        <w:t xml:space="preserve"> with disabilities</w:t>
      </w:r>
      <w:r w:rsidR="00B81B50">
        <w:rPr>
          <w:rFonts w:ascii="Times New Roman" w:eastAsia="微軟正黑體" w:hAnsi="Times New Roman" w:cs="Times New Roman"/>
          <w:szCs w:val="24"/>
        </w:rPr>
        <w:t xml:space="preserve">, </w:t>
      </w:r>
      <w:r w:rsidRPr="00885A57">
        <w:rPr>
          <w:rFonts w:ascii="Times New Roman" w:eastAsia="微軟正黑體" w:hAnsi="Times New Roman" w:cs="Times New Roman"/>
          <w:szCs w:val="24"/>
        </w:rPr>
        <w:t xml:space="preserve">and ensures that surgical sterilization is only performed </w:t>
      </w:r>
      <w:r w:rsidR="007A40E9">
        <w:rPr>
          <w:rFonts w:ascii="Times New Roman" w:eastAsia="微軟正黑體" w:hAnsi="Times New Roman" w:cs="Times New Roman"/>
          <w:szCs w:val="24"/>
        </w:rPr>
        <w:t xml:space="preserve">with </w:t>
      </w:r>
      <w:r w:rsidRPr="00885A57">
        <w:rPr>
          <w:rFonts w:ascii="Times New Roman" w:eastAsia="微軟正黑體" w:hAnsi="Times New Roman" w:cs="Times New Roman"/>
          <w:szCs w:val="24"/>
        </w:rPr>
        <w:t>informed consent. In addition, Taiwan emphasizes and supports the capacity of children with disabilities regarding living at home or with foster family. For services pertaining to the reproductive health of women with disabilities, please refer to Article 25</w:t>
      </w:r>
      <w:r w:rsidR="007A40E9">
        <w:rPr>
          <w:rFonts w:ascii="Times New Roman" w:eastAsia="微軟正黑體" w:hAnsi="Times New Roman" w:cs="Times New Roman"/>
          <w:szCs w:val="24"/>
        </w:rPr>
        <w:t xml:space="preserve">: </w:t>
      </w:r>
      <w:r w:rsidRPr="00885A57">
        <w:rPr>
          <w:rFonts w:ascii="Times New Roman" w:eastAsia="微軟正黑體" w:hAnsi="Times New Roman" w:cs="Times New Roman"/>
          <w:szCs w:val="24"/>
        </w:rPr>
        <w:t xml:space="preserve">Health (Points </w:t>
      </w:r>
      <w:r w:rsidRPr="00885A57">
        <w:rPr>
          <w:rFonts w:ascii="Times New Roman" w:eastAsia="標楷體" w:hAnsi="Times New Roman" w:cs="Times New Roman"/>
        </w:rPr>
        <w:fldChar w:fldCharType="begin"/>
      </w:r>
      <w:r w:rsidRPr="00885A57">
        <w:rPr>
          <w:rFonts w:ascii="Times New Roman" w:eastAsia="標楷體" w:hAnsi="Times New Roman" w:cs="Times New Roman"/>
        </w:rPr>
        <w:instrText xml:space="preserve"> REF _Ref33523069 \r \h  \* MERGEFORMAT </w:instrText>
      </w:r>
      <w:r w:rsidRPr="00885A57">
        <w:rPr>
          <w:rFonts w:ascii="Times New Roman" w:eastAsia="標楷體" w:hAnsi="Times New Roman" w:cs="Times New Roman"/>
        </w:rPr>
      </w:r>
      <w:r w:rsidRPr="00885A57">
        <w:rPr>
          <w:rFonts w:ascii="Times New Roman" w:eastAsia="標楷體" w:hAnsi="Times New Roman" w:cs="Times New Roman"/>
        </w:rPr>
        <w:fldChar w:fldCharType="separate"/>
      </w:r>
      <w:r w:rsidR="00F00A73" w:rsidRPr="00F00A73">
        <w:rPr>
          <w:rFonts w:ascii="Times New Roman" w:eastAsia="標楷體" w:hAnsi="Times New Roman" w:cs="Times New Roman"/>
          <w:szCs w:val="28"/>
        </w:rPr>
        <w:t>215</w:t>
      </w:r>
      <w:r w:rsidRPr="00885A57">
        <w:rPr>
          <w:rFonts w:ascii="Times New Roman" w:eastAsia="標楷體" w:hAnsi="Times New Roman" w:cs="Times New Roman"/>
        </w:rPr>
        <w:fldChar w:fldCharType="end"/>
      </w:r>
      <w:r w:rsidRPr="00885A57">
        <w:rPr>
          <w:rFonts w:ascii="Times New Roman" w:eastAsia="標楷體" w:hAnsi="Times New Roman" w:cs="Times New Roman"/>
        </w:rPr>
        <w:t xml:space="preserve"> </w:t>
      </w:r>
      <w:r w:rsidRPr="00885A57">
        <w:rPr>
          <w:rFonts w:ascii="Times New Roman" w:eastAsia="微軟正黑體" w:hAnsi="Times New Roman" w:cs="Times New Roman"/>
          <w:szCs w:val="24"/>
        </w:rPr>
        <w:t>and</w:t>
      </w:r>
      <w:r w:rsidR="00FC349F" w:rsidRPr="00885A57">
        <w:rPr>
          <w:rFonts w:ascii="Times New Roman" w:eastAsia="標楷體" w:hAnsi="Times New Roman" w:cs="Times New Roman"/>
        </w:rPr>
        <w:t xml:space="preserve"> 216</w:t>
      </w:r>
      <w:r w:rsidRPr="00885A57">
        <w:rPr>
          <w:rFonts w:ascii="Times New Roman" w:eastAsia="微軟正黑體" w:hAnsi="Times New Roman" w:cs="Times New Roman"/>
          <w:szCs w:val="24"/>
        </w:rPr>
        <w:t>).</w:t>
      </w:r>
    </w:p>
    <w:p w14:paraId="7C34C226" w14:textId="3ED4FE13" w:rsidR="00350B8E" w:rsidRPr="00885A57" w:rsidRDefault="0001641B" w:rsidP="001A2139">
      <w:pPr>
        <w:spacing w:after="120" w:line="360" w:lineRule="auto"/>
        <w:rPr>
          <w:rFonts w:ascii="Times New Roman" w:eastAsia="標楷體" w:hAnsi="Times New Roman" w:cs="Times New Roman"/>
          <w:szCs w:val="28"/>
        </w:rPr>
      </w:pPr>
      <w:r w:rsidRPr="00885A57">
        <w:rPr>
          <w:rFonts w:ascii="Times New Roman" w:eastAsia="標楷體" w:hAnsi="Times New Roman" w:cs="Times New Roman"/>
          <w:szCs w:val="24"/>
        </w:rPr>
        <w:t>A.  Sex and reproductive health education</w:t>
      </w:r>
    </w:p>
    <w:p w14:paraId="6D829F20" w14:textId="783C1772" w:rsidR="00D958C4" w:rsidRPr="00885A57" w:rsidRDefault="0001641B" w:rsidP="00C50226">
      <w:pPr>
        <w:pStyle w:val="a7"/>
        <w:numPr>
          <w:ilvl w:val="0"/>
          <w:numId w:val="45"/>
        </w:numPr>
        <w:spacing w:after="120" w:line="360" w:lineRule="auto"/>
        <w:ind w:leftChars="0" w:left="567" w:hanging="567"/>
        <w:jc w:val="both"/>
        <w:rPr>
          <w:rFonts w:ascii="Times New Roman" w:eastAsia="標楷體" w:hAnsi="Times New Roman" w:cs="Times New Roman"/>
          <w:szCs w:val="28"/>
        </w:rPr>
      </w:pPr>
      <w:bookmarkStart w:id="145" w:name="_Ref55912665"/>
      <w:r w:rsidRPr="00885A57">
        <w:rPr>
          <w:rFonts w:ascii="Times New Roman" w:eastAsia="微軟正黑體" w:hAnsi="Times New Roman" w:cs="Times New Roman"/>
          <w:szCs w:val="24"/>
        </w:rPr>
        <w:t xml:space="preserve">The MOHW commissioned professional associations to create a manual on sexual and reproductive health education for parents of teenagers with intellectual disorders and teaching materials for public health nurses. In 2019, the </w:t>
      </w:r>
      <w:r w:rsidRPr="00885A57">
        <w:rPr>
          <w:rFonts w:ascii="Times New Roman" w:eastAsia="微軟正黑體" w:hAnsi="Times New Roman" w:cs="Times New Roman"/>
          <w:szCs w:val="24"/>
        </w:rPr>
        <w:lastRenderedPageBreak/>
        <w:t xml:space="preserve">MOHW accomplished the needs assessment concerning care for pregnant women with disabilities, the results of which have served as a reference for the </w:t>
      </w:r>
      <w:r w:rsidR="00931A86">
        <w:rPr>
          <w:rFonts w:ascii="Times New Roman" w:eastAsia="微軟正黑體" w:hAnsi="Times New Roman" w:cs="Times New Roman"/>
          <w:szCs w:val="24"/>
        </w:rPr>
        <w:t>easy-to-read</w:t>
      </w:r>
      <w:r w:rsidR="00AE2E8A">
        <w:rPr>
          <w:rFonts w:ascii="Times New Roman" w:eastAsia="微軟正黑體" w:hAnsi="Times New Roman" w:cs="Times New Roman"/>
          <w:szCs w:val="24"/>
        </w:rPr>
        <w:t xml:space="preserve"> </w:t>
      </w:r>
      <w:r w:rsidRPr="00885A57">
        <w:rPr>
          <w:rFonts w:ascii="Times New Roman" w:eastAsia="微軟正黑體" w:hAnsi="Times New Roman" w:cs="Times New Roman"/>
          <w:szCs w:val="24"/>
        </w:rPr>
        <w:t>manual on pregnancy c</w:t>
      </w:r>
      <w:r w:rsidR="00AE2E8A">
        <w:rPr>
          <w:rFonts w:ascii="Times New Roman" w:eastAsia="微軟正黑體" w:hAnsi="Times New Roman" w:cs="Times New Roman"/>
          <w:szCs w:val="24"/>
        </w:rPr>
        <w:t xml:space="preserve">are of </w:t>
      </w:r>
      <w:r w:rsidRPr="00885A57">
        <w:rPr>
          <w:rFonts w:ascii="Times New Roman" w:eastAsia="微軟正黑體" w:hAnsi="Times New Roman" w:cs="Times New Roman"/>
          <w:szCs w:val="24"/>
        </w:rPr>
        <w:t>women</w:t>
      </w:r>
      <w:r w:rsidR="00AE2E8A">
        <w:rPr>
          <w:rFonts w:ascii="Times New Roman" w:eastAsia="微軟正黑體" w:hAnsi="Times New Roman" w:cs="Times New Roman"/>
          <w:szCs w:val="24"/>
        </w:rPr>
        <w:t xml:space="preserve"> with disabilities</w:t>
      </w:r>
      <w:r w:rsidRPr="00885A57">
        <w:rPr>
          <w:rFonts w:ascii="Times New Roman" w:eastAsia="微軟正黑體" w:hAnsi="Times New Roman" w:cs="Times New Roman"/>
          <w:szCs w:val="24"/>
        </w:rPr>
        <w:t>.</w:t>
      </w:r>
      <w:bookmarkEnd w:id="145"/>
      <w:r w:rsidRPr="00885A57">
        <w:rPr>
          <w:rStyle w:val="ab"/>
          <w:rFonts w:ascii="Times New Roman" w:eastAsia="標楷體" w:hAnsi="Times New Roman" w:cs="Times New Roman"/>
        </w:rPr>
        <w:footnoteReference w:id="93"/>
      </w:r>
    </w:p>
    <w:p w14:paraId="20EDCA62" w14:textId="7AC9D96A" w:rsidR="00350B8E" w:rsidRPr="00885A57" w:rsidRDefault="0001641B" w:rsidP="001A2139">
      <w:pPr>
        <w:pStyle w:val="a7"/>
        <w:numPr>
          <w:ilvl w:val="0"/>
          <w:numId w:val="45"/>
        </w:numPr>
        <w:spacing w:after="120" w:line="360" w:lineRule="auto"/>
        <w:ind w:leftChars="0" w:left="567" w:hanging="567"/>
        <w:jc w:val="both"/>
        <w:rPr>
          <w:rFonts w:ascii="Times New Roman" w:eastAsia="標楷體" w:hAnsi="Times New Roman" w:cs="Times New Roman"/>
        </w:rPr>
      </w:pPr>
      <w:bookmarkStart w:id="146" w:name="_Ref55912670"/>
      <w:r w:rsidRPr="00885A57">
        <w:rPr>
          <w:rFonts w:ascii="Times New Roman" w:eastAsia="標楷體" w:hAnsi="Times New Roman" w:cs="Times New Roman"/>
          <w:szCs w:val="24"/>
        </w:rPr>
        <w:t>The MOE developed the Handbook on Teaching Materials for Sex Education for Students with Disabilities, which contains lesson plans on sex education from preschool to senior high school levels. The ministry also published the Teaching Materials on Sex Education for Students with Disabilities: Instructional Adjustments and Recommendations, in which the learning characteristics at each education level are introduced and posted to websites related to special education that are accessible by teachers, parents, and relevant personnel. Teachers may use the aforementioned handbook when teaching students with disabilities about sex; alternatively, teachers may adapt its content for required teaching activities according to the instruction scenario and produce suitable teaching materials. By preparing and compiling said publications, the MOE has made an effort to focus teachers’ attention on sex education for students with disabilities, raise public awareness of the right to education of students with special needs, and convey appropriate sex-related knowledge to students with disabilities.</w:t>
      </w:r>
      <w:bookmarkEnd w:id="146"/>
      <w:r w:rsidRPr="00885A57">
        <w:rPr>
          <w:rStyle w:val="ab"/>
          <w:rFonts w:ascii="Times New Roman" w:eastAsia="標楷體" w:hAnsi="Times New Roman" w:cs="Times New Roman"/>
        </w:rPr>
        <w:footnoteReference w:id="94"/>
      </w:r>
    </w:p>
    <w:p w14:paraId="25536D60" w14:textId="1DEDC3E5" w:rsidR="00FE5B2B" w:rsidRPr="00885A57" w:rsidRDefault="0001641B"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Pursuant to the </w:t>
      </w:r>
      <w:r w:rsidRPr="002153DE">
        <w:rPr>
          <w:rFonts w:ascii="Times New Roman" w:eastAsia="標楷體" w:hAnsi="Times New Roman" w:cs="Times New Roman"/>
          <w:iCs/>
          <w:szCs w:val="24"/>
        </w:rPr>
        <w:t>Family Education Act</w:t>
      </w:r>
      <w:r w:rsidRPr="00885A57">
        <w:rPr>
          <w:rFonts w:ascii="Times New Roman" w:eastAsia="標楷體" w:hAnsi="Times New Roman" w:cs="Times New Roman"/>
          <w:szCs w:val="24"/>
        </w:rPr>
        <w:t xml:space="preserve">, </w:t>
      </w:r>
      <w:r w:rsidRPr="002153DE">
        <w:rPr>
          <w:rFonts w:ascii="Times New Roman" w:eastAsia="標楷體" w:hAnsi="Times New Roman" w:cs="Times New Roman"/>
          <w:iCs/>
          <w:szCs w:val="24"/>
        </w:rPr>
        <w:t>Regulations for Schools K-12 to Provide Family Education and Counseling Support</w:t>
      </w:r>
      <w:r w:rsidRPr="00885A57">
        <w:rPr>
          <w:rFonts w:ascii="Times New Roman" w:eastAsia="標楷體" w:hAnsi="Times New Roman" w:cs="Times New Roman"/>
          <w:szCs w:val="24"/>
        </w:rPr>
        <w:t xml:space="preserve">, and the SEA, schools shall provide students with disabilities and their </w:t>
      </w:r>
      <w:r w:rsidR="00512781" w:rsidRPr="00885A57">
        <w:rPr>
          <w:rFonts w:ascii="Times New Roman" w:eastAsia="標楷體" w:hAnsi="Times New Roman" w:cs="Times New Roman"/>
          <w:szCs w:val="24"/>
        </w:rPr>
        <w:t>families’</w:t>
      </w:r>
      <w:r w:rsidRPr="00885A57">
        <w:rPr>
          <w:rFonts w:ascii="Times New Roman" w:eastAsia="標楷體" w:hAnsi="Times New Roman" w:cs="Times New Roman"/>
          <w:szCs w:val="24"/>
        </w:rPr>
        <w:t xml:space="preserve"> relevant information, services, an</w:t>
      </w:r>
      <w:r w:rsidR="00B026F9">
        <w:rPr>
          <w:rFonts w:ascii="Times New Roman" w:eastAsia="標楷體" w:hAnsi="Times New Roman" w:cs="Times New Roman"/>
          <w:szCs w:val="24"/>
        </w:rPr>
        <w:t>d support. Furthermore, the MOE</w:t>
      </w:r>
      <w:r w:rsidR="007D21B1">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by confirming the </w:t>
      </w:r>
      <w:r w:rsidR="007D21B1">
        <w:rPr>
          <w:rFonts w:ascii="Times New Roman" w:eastAsia="標楷體" w:hAnsi="Times New Roman" w:cs="Times New Roman"/>
          <w:szCs w:val="24"/>
        </w:rPr>
        <w:t xml:space="preserve">existence </w:t>
      </w:r>
      <w:r w:rsidRPr="00885A57">
        <w:rPr>
          <w:rFonts w:ascii="Times New Roman" w:eastAsia="標楷體" w:hAnsi="Times New Roman" w:cs="Times New Roman"/>
          <w:szCs w:val="24"/>
        </w:rPr>
        <w:t xml:space="preserve">of financial, </w:t>
      </w:r>
      <w:r w:rsidRPr="00885A57">
        <w:rPr>
          <w:rFonts w:ascii="Times New Roman" w:eastAsia="標楷體" w:hAnsi="Times New Roman" w:cs="Times New Roman"/>
          <w:szCs w:val="24"/>
        </w:rPr>
        <w:lastRenderedPageBreak/>
        <w:t xml:space="preserve">physical, mental, cultural, and ethnic needs and granting priority access to family education services upon finding </w:t>
      </w:r>
      <w:r w:rsidR="007D21B1">
        <w:rPr>
          <w:rFonts w:ascii="Times New Roman" w:eastAsia="標楷體" w:hAnsi="Times New Roman" w:cs="Times New Roman"/>
          <w:szCs w:val="24"/>
        </w:rPr>
        <w:t xml:space="preserve">one of these needs, </w:t>
      </w:r>
      <w:r w:rsidRPr="00885A57">
        <w:rPr>
          <w:rFonts w:ascii="Times New Roman" w:eastAsia="標楷體" w:hAnsi="Times New Roman" w:cs="Times New Roman"/>
          <w:szCs w:val="24"/>
        </w:rPr>
        <w:t xml:space="preserve">offers suitable family education courses and services in collaboration </w:t>
      </w:r>
      <w:r w:rsidR="007D21B1">
        <w:rPr>
          <w:rFonts w:ascii="Times New Roman" w:eastAsia="標楷體" w:hAnsi="Times New Roman" w:cs="Times New Roman"/>
          <w:szCs w:val="24"/>
        </w:rPr>
        <w:t xml:space="preserve">with </w:t>
      </w:r>
      <w:r w:rsidRPr="00885A57">
        <w:rPr>
          <w:rFonts w:ascii="Times New Roman" w:eastAsia="標楷體" w:hAnsi="Times New Roman" w:cs="Times New Roman"/>
          <w:szCs w:val="24"/>
        </w:rPr>
        <w:t xml:space="preserve">various </w:t>
      </w:r>
      <w:r w:rsidR="003E6F92">
        <w:rPr>
          <w:rFonts w:ascii="Times New Roman" w:eastAsia="標楷體" w:hAnsi="Times New Roman" w:cs="Times New Roman"/>
          <w:szCs w:val="24"/>
        </w:rPr>
        <w:t>government</w:t>
      </w:r>
      <w:r w:rsidRPr="00885A57">
        <w:rPr>
          <w:rFonts w:ascii="Times New Roman" w:eastAsia="標楷體" w:hAnsi="Times New Roman" w:cs="Times New Roman"/>
          <w:szCs w:val="24"/>
        </w:rPr>
        <w:t xml:space="preserve"> agencies; doing so strengthens parenting education, the development of family relationships and </w:t>
      </w:r>
      <w:r w:rsidR="007D21B1">
        <w:rPr>
          <w:rFonts w:ascii="Times New Roman" w:eastAsia="標楷體" w:hAnsi="Times New Roman" w:cs="Times New Roman"/>
          <w:szCs w:val="24"/>
        </w:rPr>
        <w:t>knowledge about family life</w:t>
      </w:r>
      <w:r w:rsidRPr="00885A57">
        <w:rPr>
          <w:rFonts w:ascii="Times New Roman" w:eastAsia="標楷體" w:hAnsi="Times New Roman" w:cs="Times New Roman"/>
          <w:szCs w:val="24"/>
        </w:rPr>
        <w:t xml:space="preserve">, and the provision of appropriate family education courses and services. As stated in the Implementation Program </w:t>
      </w:r>
      <w:r w:rsidR="00A70F1D">
        <w:rPr>
          <w:rFonts w:ascii="Times New Roman" w:eastAsia="標楷體" w:hAnsi="Times New Roman" w:cs="Times New Roman"/>
          <w:szCs w:val="24"/>
        </w:rPr>
        <w:t xml:space="preserve">for </w:t>
      </w:r>
      <w:r w:rsidRPr="00885A57">
        <w:rPr>
          <w:rFonts w:ascii="Times New Roman" w:eastAsia="標楷體" w:hAnsi="Times New Roman" w:cs="Times New Roman"/>
          <w:szCs w:val="24"/>
        </w:rPr>
        <w:t xml:space="preserve">Subsidizing Local Governments in Promoting Family Education Services with Priority, the MOE provides family education support for various groups including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in accordance with their actual needs by collaborating with public and private sector entities. </w:t>
      </w:r>
      <w:r w:rsidRPr="00885A57">
        <w:rPr>
          <w:rFonts w:ascii="Times New Roman" w:eastAsia="標楷體" w:hAnsi="Times New Roman" w:cs="Times New Roman"/>
          <w:kern w:val="0"/>
          <w:szCs w:val="24"/>
          <w:shd w:val="clear" w:color="auto" w:fill="FFFFFF" w:themeFill="background1"/>
        </w:rPr>
        <w:t xml:space="preserve">The </w:t>
      </w:r>
      <w:r w:rsidR="00E22F95" w:rsidRPr="00F467C7">
        <w:rPr>
          <w:rFonts w:ascii="Times New Roman" w:eastAsia="標楷體" w:hAnsi="Times New Roman" w:cs="Times New Roman"/>
          <w:kern w:val="0"/>
          <w:szCs w:val="24"/>
          <w:shd w:val="clear" w:color="auto" w:fill="FFFFFF" w:themeFill="background1"/>
        </w:rPr>
        <w:t>Accessible R</w:t>
      </w:r>
      <w:r w:rsidR="00E22F95" w:rsidRPr="00F467C7">
        <w:rPr>
          <w:rFonts w:ascii="Times New Roman" w:eastAsia="標楷體" w:hAnsi="Times New Roman" w:cs="Times New Roman" w:hint="eastAsia"/>
          <w:kern w:val="0"/>
          <w:szCs w:val="24"/>
          <w:shd w:val="clear" w:color="auto" w:fill="FFFFFF" w:themeFill="background1"/>
        </w:rPr>
        <w:t>e</w:t>
      </w:r>
      <w:r w:rsidR="00E22F95" w:rsidRPr="00F467C7">
        <w:rPr>
          <w:rFonts w:ascii="Times New Roman" w:eastAsia="標楷體" w:hAnsi="Times New Roman" w:cs="Times New Roman"/>
          <w:kern w:val="0"/>
          <w:szCs w:val="24"/>
          <w:shd w:val="clear" w:color="auto" w:fill="FFFFFF" w:themeFill="background1"/>
        </w:rPr>
        <w:t xml:space="preserve">ading </w:t>
      </w:r>
      <w:r w:rsidRPr="00F467C7">
        <w:rPr>
          <w:rFonts w:ascii="Times New Roman" w:eastAsia="標楷體" w:hAnsi="Times New Roman" w:cs="Times New Roman"/>
          <w:kern w:val="0"/>
          <w:szCs w:val="24"/>
          <w:shd w:val="clear" w:color="auto" w:fill="FFFFFF" w:themeFill="background1"/>
        </w:rPr>
        <w:t>Information System</w:t>
      </w:r>
      <w:r w:rsidRPr="00885A57">
        <w:rPr>
          <w:rFonts w:ascii="Times New Roman" w:eastAsia="標楷體" w:hAnsi="Times New Roman" w:cs="Times New Roman"/>
          <w:kern w:val="0"/>
          <w:szCs w:val="24"/>
        </w:rPr>
        <w:t xml:space="preserve"> </w:t>
      </w:r>
      <w:r w:rsidR="007D21B1">
        <w:rPr>
          <w:rFonts w:ascii="Times New Roman" w:eastAsia="標楷體" w:hAnsi="Times New Roman" w:cs="Times New Roman"/>
          <w:kern w:val="0"/>
          <w:szCs w:val="24"/>
        </w:rPr>
        <w:t xml:space="preserve">has been </w:t>
      </w:r>
      <w:r w:rsidRPr="00885A57">
        <w:rPr>
          <w:rFonts w:ascii="Times New Roman" w:eastAsia="標楷體" w:hAnsi="Times New Roman" w:cs="Times New Roman"/>
          <w:szCs w:val="24"/>
        </w:rPr>
        <w:t xml:space="preserve">developed by the National Taiwan Library for parents and children as </w:t>
      </w:r>
      <w:r w:rsidR="007D21B1">
        <w:rPr>
          <w:rFonts w:ascii="Times New Roman" w:eastAsia="標楷體" w:hAnsi="Times New Roman" w:cs="Times New Roman"/>
          <w:szCs w:val="24"/>
        </w:rPr>
        <w:t xml:space="preserve">have been </w:t>
      </w:r>
      <w:r w:rsidRPr="00885A57">
        <w:rPr>
          <w:rFonts w:ascii="Times New Roman" w:eastAsia="標楷體" w:hAnsi="Times New Roman" w:cs="Times New Roman"/>
          <w:kern w:val="0"/>
          <w:szCs w:val="24"/>
          <w:shd w:val="clear" w:color="auto" w:fill="FFFFFF" w:themeFill="background1"/>
        </w:rPr>
        <w:t>digital picture books</w:t>
      </w:r>
      <w:r w:rsidRPr="00885A57">
        <w:rPr>
          <w:rFonts w:ascii="Times New Roman" w:eastAsia="標楷體" w:hAnsi="Times New Roman" w:cs="Times New Roman"/>
          <w:kern w:val="0"/>
          <w:szCs w:val="24"/>
        </w:rPr>
        <w:t xml:space="preserve"> </w:t>
      </w:r>
      <w:r w:rsidRPr="00885A57">
        <w:rPr>
          <w:rFonts w:ascii="Times New Roman" w:eastAsia="標楷體" w:hAnsi="Times New Roman" w:cs="Times New Roman"/>
          <w:szCs w:val="24"/>
        </w:rPr>
        <w:t xml:space="preserve">for </w:t>
      </w:r>
      <w:r w:rsidR="00354561">
        <w:rPr>
          <w:rFonts w:ascii="Times New Roman" w:eastAsia="標楷體" w:hAnsi="Times New Roman" w:cs="Times New Roman"/>
          <w:szCs w:val="24"/>
        </w:rPr>
        <w:t>children</w:t>
      </w:r>
      <w:r w:rsidRPr="00885A57">
        <w:rPr>
          <w:rFonts w:ascii="Times New Roman" w:eastAsia="標楷體" w:hAnsi="Times New Roman" w:cs="Times New Roman"/>
          <w:szCs w:val="24"/>
        </w:rPr>
        <w:t xml:space="preserve">. The MOE has commissioned the development of </w:t>
      </w:r>
      <w:r w:rsidR="00931A86">
        <w:rPr>
          <w:rFonts w:ascii="Times New Roman" w:eastAsia="標楷體" w:hAnsi="Times New Roman" w:cs="Times New Roman"/>
          <w:szCs w:val="24"/>
        </w:rPr>
        <w:t>easy-to-read</w:t>
      </w:r>
      <w:r w:rsidRPr="00885A57">
        <w:rPr>
          <w:rFonts w:ascii="Times New Roman" w:eastAsia="標楷體" w:hAnsi="Times New Roman" w:cs="Times New Roman"/>
          <w:szCs w:val="24"/>
        </w:rPr>
        <w:t xml:space="preserve"> parenting manuals for family education centers and relevant professional organizations and intends to promote the use of such manuals among families with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w:t>
      </w:r>
      <w:r w:rsidRPr="00885A57">
        <w:rPr>
          <w:rStyle w:val="ab"/>
          <w:rFonts w:ascii="Times New Roman" w:eastAsia="標楷體" w:hAnsi="Times New Roman" w:cs="Times New Roman"/>
        </w:rPr>
        <w:footnoteReference w:id="95"/>
      </w:r>
    </w:p>
    <w:p w14:paraId="0C97D232" w14:textId="0E7959B1" w:rsidR="001B654F" w:rsidRPr="00885A57" w:rsidRDefault="0001641B" w:rsidP="001A2139">
      <w:pPr>
        <w:spacing w:after="120" w:line="360" w:lineRule="auto"/>
        <w:jc w:val="both"/>
        <w:rPr>
          <w:rStyle w:val="ab"/>
          <w:rFonts w:ascii="Times New Roman" w:eastAsia="標楷體" w:hAnsi="Times New Roman" w:cs="Times New Roman"/>
          <w:szCs w:val="24"/>
          <w:vertAlign w:val="baseline"/>
        </w:rPr>
      </w:pPr>
      <w:r w:rsidRPr="00885A57">
        <w:rPr>
          <w:rFonts w:ascii="Times New Roman" w:eastAsia="標楷體" w:hAnsi="Times New Roman" w:cs="Times New Roman"/>
          <w:szCs w:val="24"/>
        </w:rPr>
        <w:t xml:space="preserve">B.  </w:t>
      </w:r>
      <w:r w:rsidRPr="00885A57">
        <w:rPr>
          <w:rFonts w:ascii="Times New Roman" w:eastAsia="微軟正黑體" w:hAnsi="Times New Roman" w:cs="Times New Roman"/>
          <w:szCs w:val="24"/>
        </w:rPr>
        <w:t>Informed consent must be obtained for the operation of surgical sterilization</w:t>
      </w:r>
    </w:p>
    <w:p w14:paraId="196F03B3" w14:textId="35256F0B" w:rsidR="001B654F" w:rsidRPr="003F6195" w:rsidRDefault="0001641B">
      <w:pPr>
        <w:pStyle w:val="a7"/>
        <w:numPr>
          <w:ilvl w:val="0"/>
          <w:numId w:val="45"/>
        </w:numPr>
        <w:spacing w:after="120" w:line="360" w:lineRule="auto"/>
        <w:ind w:leftChars="0" w:left="567" w:hanging="567"/>
        <w:jc w:val="both"/>
        <w:rPr>
          <w:rFonts w:ascii="Times New Roman" w:eastAsia="標楷體" w:hAnsi="Times New Roman" w:cs="Times New Roman"/>
          <w:szCs w:val="28"/>
        </w:rPr>
      </w:pPr>
      <w:bookmarkStart w:id="147" w:name="_Ref55912611"/>
      <w:r w:rsidRPr="003F6195">
        <w:rPr>
          <w:rFonts w:ascii="Times New Roman" w:eastAsia="微軟正黑體" w:hAnsi="Times New Roman" w:cs="Times New Roman"/>
          <w:szCs w:val="24"/>
        </w:rPr>
        <w:t xml:space="preserve">At present, regulations </w:t>
      </w:r>
      <w:r w:rsidR="00331E54" w:rsidRPr="003F6195">
        <w:rPr>
          <w:rFonts w:ascii="Times New Roman" w:eastAsia="微軟正黑體" w:hAnsi="Times New Roman" w:cs="Times New Roman"/>
          <w:szCs w:val="24"/>
        </w:rPr>
        <w:t xml:space="preserve">are not in place to govern </w:t>
      </w:r>
      <w:r w:rsidRPr="003F6195">
        <w:rPr>
          <w:rFonts w:ascii="Times New Roman" w:eastAsia="微軟正黑體" w:hAnsi="Times New Roman" w:cs="Times New Roman"/>
          <w:szCs w:val="24"/>
        </w:rPr>
        <w:t xml:space="preserve">the establishment of a surgical sterilization reporting system, and such surgery is not covered by NHI; nevertheless, the MOHW investigated the status of women with disabilities receiving a total hysterectomy using NHI data compiled between 2000 and 2016. The results revealed that although the total percentage of women with disabilities </w:t>
      </w:r>
      <w:r w:rsidRPr="003F6195">
        <w:rPr>
          <w:rFonts w:ascii="Times New Roman" w:eastAsia="微軟正黑體" w:hAnsi="Times New Roman" w:cs="Times New Roman"/>
          <w:szCs w:val="24"/>
        </w:rPr>
        <w:lastRenderedPageBreak/>
        <w:t>receiving a total hysterectomy (3.95</w:t>
      </w:r>
      <w:r w:rsidR="00787A2A" w:rsidRPr="003F6195">
        <w:rPr>
          <w:rFonts w:ascii="Times New Roman" w:eastAsia="微軟正黑體" w:hAnsi="Times New Roman" w:cs="Times New Roman"/>
          <w:szCs w:val="24"/>
        </w:rPr>
        <w:t xml:space="preserve"> percent</w:t>
      </w:r>
      <w:r w:rsidRPr="003F6195">
        <w:rPr>
          <w:rFonts w:ascii="Times New Roman" w:eastAsia="微軟正黑體" w:hAnsi="Times New Roman" w:cs="Times New Roman"/>
          <w:szCs w:val="24"/>
        </w:rPr>
        <w:t>) was higher than that of nondisabled women (2.62</w:t>
      </w:r>
      <w:r w:rsidR="00787A2A" w:rsidRPr="003F6195">
        <w:rPr>
          <w:rFonts w:ascii="Times New Roman" w:eastAsia="微軟正黑體" w:hAnsi="Times New Roman" w:cs="Times New Roman"/>
          <w:szCs w:val="24"/>
        </w:rPr>
        <w:t xml:space="preserve"> percent</w:t>
      </w:r>
      <w:r w:rsidRPr="003F6195">
        <w:rPr>
          <w:rFonts w:ascii="Times New Roman" w:eastAsia="微軟正黑體" w:hAnsi="Times New Roman" w:cs="Times New Roman"/>
          <w:szCs w:val="24"/>
        </w:rPr>
        <w:t xml:space="preserve">), the percentage of both groups decreased year by year. The percentage of women with disabilities receiving such surgery in 2015 and 2016 </w:t>
      </w:r>
      <w:r w:rsidR="00331E54" w:rsidRPr="003F6195">
        <w:rPr>
          <w:rFonts w:ascii="Times New Roman" w:eastAsia="微軟正黑體" w:hAnsi="Times New Roman" w:cs="Times New Roman"/>
          <w:szCs w:val="24"/>
        </w:rPr>
        <w:t xml:space="preserve">was </w:t>
      </w:r>
      <w:r w:rsidRPr="003F6195">
        <w:rPr>
          <w:rFonts w:ascii="Times New Roman" w:eastAsia="微軟正黑體" w:hAnsi="Times New Roman" w:cs="Times New Roman"/>
          <w:szCs w:val="24"/>
        </w:rPr>
        <w:t xml:space="preserve">lower than </w:t>
      </w:r>
      <w:r w:rsidR="00331E54" w:rsidRPr="003F6195">
        <w:rPr>
          <w:rFonts w:ascii="Times New Roman" w:eastAsia="微軟正黑體" w:hAnsi="Times New Roman" w:cs="Times New Roman"/>
          <w:szCs w:val="24"/>
        </w:rPr>
        <w:t xml:space="preserve">that </w:t>
      </w:r>
      <w:r w:rsidRPr="003F6195">
        <w:rPr>
          <w:rFonts w:ascii="Times New Roman" w:eastAsia="微軟正黑體" w:hAnsi="Times New Roman" w:cs="Times New Roman"/>
          <w:szCs w:val="24"/>
        </w:rPr>
        <w:t>of nondisabled women (0.13</w:t>
      </w:r>
      <w:r w:rsidR="00787A2A" w:rsidRPr="003F6195">
        <w:rPr>
          <w:rFonts w:ascii="Times New Roman" w:eastAsia="微軟正黑體" w:hAnsi="Times New Roman" w:cs="Times New Roman"/>
          <w:szCs w:val="24"/>
        </w:rPr>
        <w:t xml:space="preserve"> percent</w:t>
      </w:r>
      <w:r w:rsidRPr="003F6195">
        <w:rPr>
          <w:rFonts w:ascii="Times New Roman" w:eastAsia="微軟正黑體" w:hAnsi="Times New Roman" w:cs="Times New Roman"/>
          <w:szCs w:val="24"/>
        </w:rPr>
        <w:t>). The MOHW will continue tracking trends and changes. In 2021, several items will be added to the</w:t>
      </w:r>
      <w:r w:rsidR="000F5439">
        <w:rPr>
          <w:rFonts w:ascii="Times New Roman" w:eastAsia="微軟正黑體" w:hAnsi="Times New Roman" w:cs="Times New Roman"/>
          <w:szCs w:val="24"/>
        </w:rPr>
        <w:t xml:space="preserve"> </w:t>
      </w:r>
      <w:r w:rsidRPr="003F6195">
        <w:rPr>
          <w:rFonts w:ascii="Times New Roman" w:eastAsia="微軟正黑體" w:hAnsi="Times New Roman" w:cs="Times New Roman"/>
          <w:szCs w:val="24"/>
        </w:rPr>
        <w:t>Survey</w:t>
      </w:r>
      <w:r w:rsidR="000F5439">
        <w:rPr>
          <w:rFonts w:ascii="Times New Roman" w:eastAsia="微軟正黑體" w:hAnsi="Times New Roman" w:cs="Times New Roman"/>
          <w:szCs w:val="24"/>
        </w:rPr>
        <w:t xml:space="preserve"> Report of Living Condition and Needs among People with Disabilities</w:t>
      </w:r>
      <w:r w:rsidRPr="003F6195">
        <w:rPr>
          <w:rFonts w:ascii="Times New Roman" w:eastAsia="微軟正黑體" w:hAnsi="Times New Roman" w:cs="Times New Roman"/>
          <w:szCs w:val="24"/>
        </w:rPr>
        <w:t>, with the aim of determining the status of women with disabilities who receive surgical sterilization; the results shall be reported along with the CRPD national report issued every four years.</w:t>
      </w:r>
      <w:bookmarkEnd w:id="147"/>
      <w:r w:rsidRPr="00885A57">
        <w:rPr>
          <w:rStyle w:val="ab"/>
          <w:rFonts w:ascii="Times New Roman" w:eastAsia="標楷體" w:hAnsi="Times New Roman" w:cs="Times New Roman"/>
        </w:rPr>
        <w:footnoteReference w:id="96"/>
      </w:r>
    </w:p>
    <w:p w14:paraId="021EDFC3" w14:textId="7D4C5FDC" w:rsidR="001B654F" w:rsidRPr="00885A57" w:rsidRDefault="0001641B" w:rsidP="001A2139">
      <w:pPr>
        <w:pStyle w:val="a7"/>
        <w:numPr>
          <w:ilvl w:val="0"/>
          <w:numId w:val="45"/>
        </w:numPr>
        <w:spacing w:after="120" w:line="360" w:lineRule="auto"/>
        <w:ind w:leftChars="0" w:left="567" w:hanging="567"/>
        <w:jc w:val="both"/>
        <w:rPr>
          <w:rFonts w:ascii="Times New Roman" w:eastAsia="標楷體" w:hAnsi="Times New Roman" w:cs="Times New Roman"/>
          <w:szCs w:val="28"/>
        </w:rPr>
      </w:pPr>
      <w:r w:rsidRPr="00885A57">
        <w:rPr>
          <w:rFonts w:ascii="Times New Roman" w:eastAsia="標楷體" w:hAnsi="Times New Roman" w:cs="Times New Roman"/>
          <w:szCs w:val="24"/>
        </w:rPr>
        <w:t xml:space="preserve">The </w:t>
      </w:r>
      <w:r w:rsidRPr="002153DE">
        <w:rPr>
          <w:rFonts w:ascii="Times New Roman" w:eastAsia="標楷體" w:hAnsi="Times New Roman" w:cs="Times New Roman"/>
          <w:iCs/>
          <w:szCs w:val="24"/>
        </w:rPr>
        <w:t>Medical Care Act</w:t>
      </w:r>
      <w:r w:rsidRPr="00885A57">
        <w:rPr>
          <w:rFonts w:ascii="Times New Roman" w:eastAsia="標楷體" w:hAnsi="Times New Roman" w:cs="Times New Roman"/>
          <w:szCs w:val="24"/>
        </w:rPr>
        <w:t xml:space="preserve"> stipulates that medical care institutions shall inform the patient or </w:t>
      </w:r>
      <w:r w:rsidR="00A70F1D">
        <w:rPr>
          <w:rFonts w:ascii="Times New Roman" w:eastAsia="標楷體" w:hAnsi="Times New Roman" w:cs="Times New Roman"/>
          <w:szCs w:val="24"/>
        </w:rPr>
        <w:t>his/her</w:t>
      </w:r>
      <w:r w:rsidR="00A70F1D"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legal representative, spouse, kin, or interested party of the reasons for a surgical operation, its success rate, </w:t>
      </w:r>
      <w:r w:rsidR="00331E54">
        <w:rPr>
          <w:rFonts w:ascii="Times New Roman" w:eastAsia="標楷體" w:hAnsi="Times New Roman" w:cs="Times New Roman"/>
          <w:szCs w:val="24"/>
        </w:rPr>
        <w:t xml:space="preserve">and </w:t>
      </w:r>
      <w:r w:rsidRPr="00885A57">
        <w:rPr>
          <w:rFonts w:ascii="Times New Roman" w:eastAsia="標楷體" w:hAnsi="Times New Roman" w:cs="Times New Roman"/>
          <w:szCs w:val="24"/>
        </w:rPr>
        <w:t xml:space="preserve">possible side effects and risks and must obtain their consent and signature on a consent letter for surgery and anesthesia before commencing. Regarding continuing education courses related to providing sufficient information to surgery patients </w:t>
      </w:r>
      <w:r w:rsidR="004567B0" w:rsidRPr="00885A57">
        <w:rPr>
          <w:rFonts w:ascii="Times New Roman" w:eastAsia="標楷體" w:hAnsi="Times New Roman" w:cs="Times New Roman"/>
          <w:szCs w:val="24"/>
        </w:rPr>
        <w:t>(including surgical sterilization)</w:t>
      </w:r>
      <w:r w:rsidR="004567B0">
        <w:rPr>
          <w:rFonts w:ascii="Times New Roman" w:eastAsia="標楷體" w:hAnsi="Times New Roman" w:cs="Times New Roman"/>
          <w:szCs w:val="24"/>
        </w:rPr>
        <w:t xml:space="preserve"> </w:t>
      </w:r>
      <w:r w:rsidRPr="00885A57">
        <w:rPr>
          <w:rFonts w:ascii="Times New Roman" w:eastAsia="標楷體" w:hAnsi="Times New Roman" w:cs="Times New Roman"/>
          <w:szCs w:val="24"/>
        </w:rPr>
        <w:t>and obtaining their consent, 358 courses between</w:t>
      </w:r>
      <w:r w:rsidR="00A70F1D">
        <w:rPr>
          <w:rFonts w:ascii="Times New Roman" w:eastAsia="標楷體" w:hAnsi="Times New Roman" w:cs="Times New Roman"/>
          <w:szCs w:val="24"/>
        </w:rPr>
        <w:t xml:space="preserve"> </w:t>
      </w:r>
      <w:r w:rsidRPr="00885A57">
        <w:rPr>
          <w:rFonts w:ascii="Times New Roman" w:eastAsia="標楷體" w:hAnsi="Times New Roman" w:cs="Times New Roman"/>
          <w:szCs w:val="24"/>
        </w:rPr>
        <w:t>2016 and June 2019 were offered; the MOHW requested local health administrations and nursing societies/associations that offered said courses twice in 2018 and 2019 to incorporate the aforementioned topics into continuing education curricula for nursing personnel (Table 23.1).</w:t>
      </w:r>
    </w:p>
    <w:p w14:paraId="757AEAD1" w14:textId="44032577" w:rsidR="004B5A29" w:rsidRPr="00885A57" w:rsidRDefault="0001641B" w:rsidP="001A2139">
      <w:pPr>
        <w:spacing w:after="120" w:line="360" w:lineRule="auto"/>
        <w:rPr>
          <w:rFonts w:ascii="Times New Roman" w:eastAsia="標楷體" w:hAnsi="Times New Roman" w:cs="Times New Roman"/>
          <w:szCs w:val="28"/>
        </w:rPr>
      </w:pPr>
      <w:r w:rsidRPr="00885A57">
        <w:rPr>
          <w:rFonts w:ascii="Times New Roman" w:eastAsia="標楷體" w:hAnsi="Times New Roman" w:cs="Times New Roman"/>
          <w:szCs w:val="24"/>
        </w:rPr>
        <w:t>C.  Support for children growing up in a family</w:t>
      </w:r>
    </w:p>
    <w:p w14:paraId="1FF7861D" w14:textId="62CA8F1F" w:rsidR="001B654F" w:rsidRPr="00885A57" w:rsidRDefault="0001641B" w:rsidP="00C50226">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lastRenderedPageBreak/>
        <w:t xml:space="preserve">Since 2018, the government has promoted vulnerable family services, which cover parents with disabilities and families with </w:t>
      </w:r>
      <w:r w:rsidR="003E51FB">
        <w:rPr>
          <w:rFonts w:ascii="Times New Roman" w:eastAsia="標楷體" w:hAnsi="Times New Roman" w:cs="Times New Roman"/>
          <w:szCs w:val="24"/>
        </w:rPr>
        <w:t>children with disabilities</w:t>
      </w:r>
      <w:r w:rsidRPr="00885A57">
        <w:rPr>
          <w:rFonts w:ascii="Times New Roman" w:eastAsia="標楷體" w:hAnsi="Times New Roman" w:cs="Times New Roman"/>
          <w:szCs w:val="24"/>
        </w:rPr>
        <w:t xml:space="preserve">. Through case reporting </w:t>
      </w:r>
      <w:r w:rsidR="000C2C68">
        <w:rPr>
          <w:rFonts w:ascii="Times New Roman" w:eastAsia="標楷體" w:hAnsi="Times New Roman" w:cs="Times New Roman"/>
          <w:szCs w:val="24"/>
        </w:rPr>
        <w:t xml:space="preserve">and when </w:t>
      </w:r>
      <w:r w:rsidRPr="00885A57">
        <w:rPr>
          <w:rFonts w:ascii="Times New Roman" w:eastAsia="標楷體" w:hAnsi="Times New Roman" w:cs="Times New Roman"/>
          <w:szCs w:val="24"/>
        </w:rPr>
        <w:t>the vulnerable family in question</w:t>
      </w:r>
      <w:r w:rsidR="000C2C68">
        <w:rPr>
          <w:rFonts w:ascii="Times New Roman" w:eastAsia="標楷體" w:hAnsi="Times New Roman" w:cs="Times New Roman"/>
          <w:szCs w:val="24"/>
        </w:rPr>
        <w:t xml:space="preserve"> seeks help</w:t>
      </w:r>
      <w:r w:rsidRPr="00885A57">
        <w:rPr>
          <w:rFonts w:ascii="Times New Roman" w:eastAsia="標楷體" w:hAnsi="Times New Roman" w:cs="Times New Roman"/>
          <w:szCs w:val="24"/>
        </w:rPr>
        <w:t xml:space="preserve">, social workers provide them with parenting guidance solutions, community support, and other services, which follow an assessment and connect the family with various resources. Therefore, children from vulnerable families can grow up in favorable conditions. In 2019, social welfare centers had visited 36,383 vulnerable families, of which 15,480 had received family services case management by social workers; specifically, 840 families had children with special care requirements, and 2,143 families had </w:t>
      </w:r>
      <w:r w:rsidR="003E51FB">
        <w:rPr>
          <w:rFonts w:ascii="Times New Roman" w:eastAsia="標楷體" w:hAnsi="Times New Roman" w:cs="Times New Roman"/>
          <w:szCs w:val="24"/>
        </w:rPr>
        <w:t>disabled</w:t>
      </w:r>
      <w:r w:rsidRPr="00885A57">
        <w:rPr>
          <w:rFonts w:ascii="Times New Roman" w:eastAsia="標楷體" w:hAnsi="Times New Roman" w:cs="Times New Roman"/>
          <w:szCs w:val="24"/>
        </w:rPr>
        <w:t xml:space="preserve"> members, members with dementia, 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severe disabilities in their households.</w:t>
      </w:r>
    </w:p>
    <w:p w14:paraId="29C32FCF" w14:textId="42A75EB0" w:rsidR="00A90A77" w:rsidRPr="00885A57" w:rsidRDefault="0001641B" w:rsidP="00C50226">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reduce the financial burden on vulnerable families </w:t>
      </w:r>
      <w:r w:rsidR="00C92B33">
        <w:rPr>
          <w:rFonts w:ascii="Times New Roman" w:eastAsia="標楷體" w:hAnsi="Times New Roman" w:cs="Times New Roman"/>
          <w:szCs w:val="24"/>
        </w:rPr>
        <w:t xml:space="preserve">who have suffered </w:t>
      </w:r>
      <w:r w:rsidRPr="00885A57">
        <w:rPr>
          <w:rFonts w:ascii="Times New Roman" w:eastAsia="標楷體" w:hAnsi="Times New Roman" w:cs="Times New Roman"/>
          <w:szCs w:val="24"/>
        </w:rPr>
        <w:t xml:space="preserve">major accidents or </w:t>
      </w:r>
      <w:r w:rsidR="00C92B33">
        <w:rPr>
          <w:rFonts w:ascii="Times New Roman" w:eastAsia="標楷體" w:hAnsi="Times New Roman" w:cs="Times New Roman"/>
          <w:szCs w:val="24"/>
        </w:rPr>
        <w:t>who otherwise lack capacity</w:t>
      </w:r>
      <w:r w:rsidRPr="00885A57">
        <w:rPr>
          <w:rFonts w:ascii="Times New Roman" w:eastAsia="標楷體" w:hAnsi="Times New Roman" w:cs="Times New Roman"/>
          <w:szCs w:val="24"/>
        </w:rPr>
        <w:t xml:space="preserve">, the Emergency Living </w:t>
      </w:r>
      <w:r w:rsidRPr="00885A57">
        <w:rPr>
          <w:rFonts w:ascii="Times New Roman" w:hAnsi="Times New Roman" w:cs="Times New Roman"/>
          <w:szCs w:val="24"/>
        </w:rPr>
        <w:t>Assistance for</w:t>
      </w:r>
      <w:r w:rsidRPr="00885A57">
        <w:rPr>
          <w:rFonts w:ascii="Times New Roman" w:eastAsia="標楷體" w:hAnsi="Times New Roman" w:cs="Times New Roman"/>
          <w:szCs w:val="24"/>
        </w:rPr>
        <w:t xml:space="preserve"> Children and Youth in Vulnerable Families </w:t>
      </w:r>
      <w:r w:rsidR="00A70F1D">
        <w:rPr>
          <w:rFonts w:ascii="Times New Roman" w:eastAsia="標楷體" w:hAnsi="Times New Roman" w:cs="Times New Roman"/>
          <w:szCs w:val="24"/>
        </w:rPr>
        <w:t xml:space="preserve">Project </w:t>
      </w:r>
      <w:r w:rsidRPr="00885A57">
        <w:rPr>
          <w:rFonts w:ascii="Times New Roman" w:eastAsia="標楷體" w:hAnsi="Times New Roman" w:cs="Times New Roman"/>
          <w:szCs w:val="24"/>
        </w:rPr>
        <w:t>was initiated. Following a social worker</w:t>
      </w:r>
      <w:r w:rsidR="00C92B33">
        <w:rPr>
          <w:rFonts w:ascii="Times New Roman" w:eastAsia="標楷體" w:hAnsi="Times New Roman" w:cs="Times New Roman"/>
          <w:szCs w:val="24"/>
        </w:rPr>
        <w:t>’s</w:t>
      </w:r>
      <w:r w:rsidRPr="00885A57">
        <w:rPr>
          <w:rFonts w:ascii="Times New Roman" w:eastAsia="標楷體" w:hAnsi="Times New Roman" w:cs="Times New Roman"/>
          <w:szCs w:val="24"/>
        </w:rPr>
        <w:t xml:space="preserve"> assessment of the family requiring support, a family may receive a subsidy of NT$3,000 per month for each chil</w:t>
      </w:r>
      <w:r w:rsidR="003E51FB">
        <w:rPr>
          <w:rFonts w:ascii="Times New Roman" w:eastAsia="標楷體" w:hAnsi="Times New Roman" w:cs="Times New Roman"/>
          <w:szCs w:val="24"/>
        </w:rPr>
        <w:t>d (including children and youth</w:t>
      </w:r>
      <w:r w:rsidRPr="00885A57">
        <w:rPr>
          <w:rFonts w:ascii="Times New Roman" w:eastAsia="標楷體" w:hAnsi="Times New Roman" w:cs="Times New Roman"/>
          <w:szCs w:val="24"/>
        </w:rPr>
        <w:t xml:space="preserve"> with disabilities who do not receive public placement). The </w:t>
      </w:r>
      <w:r w:rsidR="00C92B33">
        <w:rPr>
          <w:rFonts w:ascii="Times New Roman" w:eastAsia="標楷體" w:hAnsi="Times New Roman" w:cs="Times New Roman"/>
          <w:szCs w:val="24"/>
        </w:rPr>
        <w:t xml:space="preserve">subsidy </w:t>
      </w:r>
      <w:r w:rsidRPr="00885A57">
        <w:rPr>
          <w:rFonts w:ascii="Times New Roman" w:eastAsia="標楷體" w:hAnsi="Times New Roman" w:cs="Times New Roman"/>
          <w:szCs w:val="24"/>
        </w:rPr>
        <w:t xml:space="preserve">shall last for six months in principle and for 12 months at most, thereby bringing stability to the </w:t>
      </w:r>
      <w:r w:rsidR="00C92B33">
        <w:rPr>
          <w:rFonts w:ascii="Times New Roman" w:eastAsia="標楷體" w:hAnsi="Times New Roman" w:cs="Times New Roman"/>
          <w:szCs w:val="24"/>
        </w:rPr>
        <w:t>child’s</w:t>
      </w:r>
      <w:r w:rsidR="00C92B33"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life and improving the family’s</w:t>
      </w:r>
      <w:r w:rsidR="00C92B33">
        <w:rPr>
          <w:rFonts w:ascii="Times New Roman" w:eastAsia="標楷體" w:hAnsi="Times New Roman" w:cs="Times New Roman"/>
          <w:szCs w:val="24"/>
        </w:rPr>
        <w:t xml:space="preserve"> ability to care for the child.</w:t>
      </w:r>
    </w:p>
    <w:p w14:paraId="09042B6A" w14:textId="71B73D0F" w:rsidR="00A854F0" w:rsidRPr="00885A57" w:rsidRDefault="0001641B"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The PCYWR</w:t>
      </w:r>
      <w:r w:rsidRPr="00885A57">
        <w:rPr>
          <w:rFonts w:ascii="Times New Roman" w:eastAsia="標楷體" w:hAnsi="Times New Roman" w:cs="Times New Roman"/>
          <w:vertAlign w:val="superscript"/>
        </w:rPr>
        <w:footnoteReference w:id="97"/>
      </w:r>
      <w:r w:rsidRPr="00885A57">
        <w:rPr>
          <w:rFonts w:ascii="Times New Roman" w:eastAsia="標楷體" w:hAnsi="Times New Roman" w:cs="Times New Roman"/>
          <w:szCs w:val="24"/>
        </w:rPr>
        <w:t xml:space="preserve"> </w:t>
      </w:r>
      <w:r w:rsidRPr="00885A57">
        <w:rPr>
          <w:rFonts w:ascii="Times New Roman" w:hAnsi="Times New Roman" w:cs="Times New Roman"/>
          <w:szCs w:val="24"/>
        </w:rPr>
        <w:t>stipulates that</w:t>
      </w:r>
      <w:r w:rsidRPr="00885A57">
        <w:rPr>
          <w:rFonts w:ascii="Times New Roman" w:eastAsia="標楷體" w:hAnsi="Times New Roman" w:cs="Times New Roman"/>
          <w:szCs w:val="24"/>
        </w:rPr>
        <w:t xml:space="preserve"> when parents or guardians apply to the competent local authority </w:t>
      </w:r>
      <w:r w:rsidR="00C92B33">
        <w:rPr>
          <w:rFonts w:ascii="Times New Roman" w:eastAsia="標楷體" w:hAnsi="Times New Roman" w:cs="Times New Roman"/>
          <w:szCs w:val="24"/>
        </w:rPr>
        <w:t xml:space="preserve">to place </w:t>
      </w:r>
      <w:r w:rsidRPr="00885A57">
        <w:rPr>
          <w:rFonts w:ascii="Times New Roman" w:eastAsia="標楷體" w:hAnsi="Times New Roman" w:cs="Times New Roman"/>
          <w:szCs w:val="24"/>
        </w:rPr>
        <w:t xml:space="preserve">their </w:t>
      </w:r>
      <w:r w:rsidR="00C92B33">
        <w:rPr>
          <w:rFonts w:ascii="Times New Roman" w:eastAsia="標楷體" w:hAnsi="Times New Roman" w:cs="Times New Roman"/>
          <w:szCs w:val="24"/>
        </w:rPr>
        <w:t>child</w:t>
      </w:r>
      <w:r w:rsidRPr="00885A57">
        <w:rPr>
          <w:rFonts w:ascii="Times New Roman" w:eastAsia="標楷體" w:hAnsi="Times New Roman" w:cs="Times New Roman"/>
          <w:szCs w:val="24"/>
        </w:rPr>
        <w:t xml:space="preserve"> due to </w:t>
      </w:r>
      <w:r w:rsidR="00C92B33">
        <w:rPr>
          <w:rFonts w:ascii="Times New Roman" w:eastAsia="標楷體" w:hAnsi="Times New Roman" w:cs="Times New Roman"/>
          <w:szCs w:val="24"/>
        </w:rPr>
        <w:t xml:space="preserve">a </w:t>
      </w:r>
      <w:r w:rsidRPr="00885A57">
        <w:rPr>
          <w:rFonts w:ascii="Times New Roman" w:eastAsia="標楷體" w:hAnsi="Times New Roman" w:cs="Times New Roman"/>
          <w:szCs w:val="24"/>
        </w:rPr>
        <w:t xml:space="preserve">family </w:t>
      </w:r>
      <w:r w:rsidR="00C92B33">
        <w:rPr>
          <w:rFonts w:ascii="Times New Roman" w:eastAsia="標楷體" w:hAnsi="Times New Roman" w:cs="Times New Roman"/>
          <w:szCs w:val="24"/>
        </w:rPr>
        <w:t>disaster</w:t>
      </w:r>
      <w:r w:rsidRPr="00885A57">
        <w:rPr>
          <w:rFonts w:ascii="Times New Roman" w:eastAsia="標楷體" w:hAnsi="Times New Roman" w:cs="Times New Roman"/>
          <w:szCs w:val="24"/>
        </w:rPr>
        <w:t xml:space="preserve">, the authority shall, in </w:t>
      </w:r>
      <w:r w:rsidRPr="00885A57">
        <w:rPr>
          <w:rFonts w:ascii="Times New Roman" w:eastAsia="標楷體" w:hAnsi="Times New Roman" w:cs="Times New Roman"/>
          <w:szCs w:val="24"/>
        </w:rPr>
        <w:lastRenderedPageBreak/>
        <w:t>consideration of best interests</w:t>
      </w:r>
      <w:r w:rsidR="00C92B33">
        <w:rPr>
          <w:rFonts w:ascii="Times New Roman" w:eastAsia="標楷體" w:hAnsi="Times New Roman" w:cs="Times New Roman"/>
          <w:szCs w:val="24"/>
        </w:rPr>
        <w:t xml:space="preserve"> of the child</w:t>
      </w:r>
      <w:r w:rsidRPr="00885A57">
        <w:rPr>
          <w:rFonts w:ascii="Times New Roman" w:eastAsia="標楷體" w:hAnsi="Times New Roman" w:cs="Times New Roman"/>
          <w:szCs w:val="24"/>
        </w:rPr>
        <w:t xml:space="preserve">, place </w:t>
      </w:r>
      <w:r w:rsidR="00C92B33">
        <w:rPr>
          <w:rFonts w:ascii="Times New Roman" w:eastAsia="標楷體" w:hAnsi="Times New Roman" w:cs="Times New Roman"/>
          <w:szCs w:val="24"/>
        </w:rPr>
        <w:t xml:space="preserve">he or she </w:t>
      </w:r>
      <w:r w:rsidRPr="00885A57">
        <w:rPr>
          <w:rFonts w:ascii="Times New Roman" w:eastAsia="標楷體" w:hAnsi="Times New Roman" w:cs="Times New Roman"/>
          <w:szCs w:val="24"/>
        </w:rPr>
        <w:t xml:space="preserve">in </w:t>
      </w:r>
      <w:r w:rsidR="00C92B33">
        <w:rPr>
          <w:rFonts w:ascii="Times New Roman" w:eastAsia="標楷體" w:hAnsi="Times New Roman" w:cs="Times New Roman"/>
          <w:szCs w:val="24"/>
        </w:rPr>
        <w:t xml:space="preserve">an </w:t>
      </w:r>
      <w:r w:rsidRPr="00885A57">
        <w:rPr>
          <w:rFonts w:ascii="Times New Roman" w:eastAsia="標楷體" w:hAnsi="Times New Roman" w:cs="Times New Roman"/>
          <w:szCs w:val="24"/>
        </w:rPr>
        <w:t xml:space="preserve">appropriate foster </w:t>
      </w:r>
      <w:r w:rsidR="00C92B33">
        <w:rPr>
          <w:rFonts w:ascii="Times New Roman" w:eastAsia="標楷體" w:hAnsi="Times New Roman" w:cs="Times New Roman"/>
          <w:szCs w:val="24"/>
        </w:rPr>
        <w:t>home or</w:t>
      </w:r>
      <w:r w:rsidRPr="00885A57">
        <w:rPr>
          <w:rFonts w:ascii="Times New Roman" w:eastAsia="標楷體" w:hAnsi="Times New Roman" w:cs="Times New Roman"/>
          <w:szCs w:val="24"/>
        </w:rPr>
        <w:t xml:space="preserve"> </w:t>
      </w:r>
      <w:r w:rsidR="002F273E">
        <w:rPr>
          <w:rFonts w:ascii="Times New Roman" w:eastAsia="標楷體" w:hAnsi="Times New Roman" w:cs="Times New Roman"/>
          <w:szCs w:val="24"/>
        </w:rPr>
        <w:t>residential care institution</w:t>
      </w:r>
      <w:r w:rsidRPr="00885A57">
        <w:rPr>
          <w:rFonts w:ascii="Times New Roman" w:eastAsia="標楷體" w:hAnsi="Times New Roman" w:cs="Times New Roman"/>
          <w:szCs w:val="24"/>
        </w:rPr>
        <w:t xml:space="preserve">. According to the individual needs of the </w:t>
      </w:r>
      <w:r w:rsidR="00F35EB3">
        <w:rPr>
          <w:rFonts w:ascii="Times New Roman" w:eastAsia="標楷體" w:hAnsi="Times New Roman" w:cs="Times New Roman"/>
          <w:szCs w:val="24"/>
        </w:rPr>
        <w:t>children and youth</w:t>
      </w:r>
      <w:r w:rsidRPr="00885A57">
        <w:rPr>
          <w:rFonts w:ascii="Times New Roman" w:eastAsia="標楷體" w:hAnsi="Times New Roman" w:cs="Times New Roman"/>
          <w:szCs w:val="24"/>
        </w:rPr>
        <w:t>, the foster family or institut</w:t>
      </w:r>
      <w:r w:rsidR="002F273E">
        <w:rPr>
          <w:rFonts w:ascii="Times New Roman" w:eastAsia="標楷體" w:hAnsi="Times New Roman" w:cs="Times New Roman"/>
          <w:szCs w:val="24"/>
        </w:rPr>
        <w:t>ion</w:t>
      </w:r>
      <w:r w:rsidRPr="00885A57">
        <w:rPr>
          <w:rFonts w:ascii="Times New Roman" w:eastAsia="標楷體" w:hAnsi="Times New Roman" w:cs="Times New Roman"/>
          <w:szCs w:val="24"/>
        </w:rPr>
        <w:t xml:space="preserve"> shall provide education, care, and protection to the </w:t>
      </w:r>
      <w:r w:rsidR="00C92B33">
        <w:rPr>
          <w:rFonts w:ascii="Times New Roman" w:eastAsia="標楷體" w:hAnsi="Times New Roman" w:cs="Times New Roman"/>
          <w:szCs w:val="24"/>
        </w:rPr>
        <w:t xml:space="preserve">child </w:t>
      </w:r>
      <w:r w:rsidRPr="00885A57">
        <w:rPr>
          <w:rFonts w:ascii="Times New Roman" w:eastAsia="標楷體" w:hAnsi="Times New Roman" w:cs="Times New Roman"/>
          <w:szCs w:val="24"/>
        </w:rPr>
        <w:t>(Tables 23.2 and 23.3).</w:t>
      </w:r>
    </w:p>
    <w:p w14:paraId="6EEE4245" w14:textId="630F31A3" w:rsidR="00D43047" w:rsidRPr="00885A57" w:rsidRDefault="0001641B" w:rsidP="00C50226">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As specified in the </w:t>
      </w:r>
      <w:r w:rsidRPr="002153DE">
        <w:rPr>
          <w:rFonts w:ascii="Times New Roman" w:eastAsia="標楷體" w:hAnsi="Times New Roman" w:cs="Times New Roman"/>
          <w:iCs/>
          <w:szCs w:val="24"/>
        </w:rPr>
        <w:t>Civil Code</w:t>
      </w:r>
      <w:r w:rsidRPr="00885A57">
        <w:rPr>
          <w:rFonts w:ascii="Times New Roman" w:eastAsia="標楷體" w:hAnsi="Times New Roman" w:cs="Times New Roman"/>
          <w:szCs w:val="24"/>
        </w:rPr>
        <w:t xml:space="preserve"> and </w:t>
      </w:r>
      <w:r w:rsidR="00C92B33">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PCYWRA, adoption matching service agencies shall determine whether the parents or guardians of children (including those with disabilities) cannot bear the responsibility for their children’s maintenance and </w:t>
      </w:r>
      <w:r w:rsidR="00517B38">
        <w:rPr>
          <w:rFonts w:ascii="Times New Roman" w:eastAsia="標楷體" w:hAnsi="Times New Roman" w:cs="Times New Roman"/>
          <w:szCs w:val="24"/>
        </w:rPr>
        <w:t>that</w:t>
      </w:r>
      <w:r w:rsidR="00A70F1D">
        <w:rPr>
          <w:rFonts w:ascii="Times New Roman" w:eastAsia="標楷體" w:hAnsi="Times New Roman" w:cs="Times New Roman"/>
          <w:szCs w:val="24"/>
        </w:rPr>
        <w:t>,</w:t>
      </w:r>
      <w:r w:rsidR="00517B38">
        <w:rPr>
          <w:rFonts w:ascii="Times New Roman" w:eastAsia="標楷體" w:hAnsi="Times New Roman" w:cs="Times New Roman"/>
          <w:szCs w:val="24"/>
        </w:rPr>
        <w:t xml:space="preserve"> as a result</w:t>
      </w:r>
      <w:r w:rsidR="00A70F1D">
        <w:rPr>
          <w:rFonts w:ascii="Times New Roman" w:eastAsia="標楷體" w:hAnsi="Times New Roman" w:cs="Times New Roman"/>
          <w:szCs w:val="24"/>
        </w:rPr>
        <w:t>,</w:t>
      </w:r>
      <w:r w:rsidR="00517B38"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adoption is necessary before providing adoption matching services and seeking appropriate adoptive parents. The adoption must be reviewed and approved by the court, which must consider the child’s best interests. Between 2016 and 2019, 1,094 children were adopted in accordance with this process, of whom 31 were CYDs (2.83</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Table 23.4 and Fig. 23.1). This adoption rate was higher than that of CYDs of total children and youth population (approximately 0.90</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Reasons for </w:t>
      </w:r>
      <w:r w:rsidR="00C4157C">
        <w:rPr>
          <w:rFonts w:ascii="Times New Roman" w:eastAsia="標楷體" w:hAnsi="Times New Roman" w:cs="Times New Roman"/>
          <w:szCs w:val="24"/>
        </w:rPr>
        <w:t xml:space="preserve">putting up for </w:t>
      </w:r>
      <w:r w:rsidRPr="00885A57">
        <w:rPr>
          <w:rFonts w:ascii="Times New Roman" w:eastAsia="標楷體" w:hAnsi="Times New Roman" w:cs="Times New Roman"/>
          <w:szCs w:val="24"/>
        </w:rPr>
        <w:t xml:space="preserve">adoption were primarily </w:t>
      </w:r>
      <w:r w:rsidR="00C4157C">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inability of the family to provide care or education, unfavorable financial conditions, and single parenting difficulties. </w:t>
      </w:r>
      <w:r w:rsidR="00C4157C">
        <w:rPr>
          <w:rFonts w:ascii="Times New Roman" w:eastAsia="標楷體" w:hAnsi="Times New Roman" w:cs="Times New Roman"/>
          <w:szCs w:val="24"/>
        </w:rPr>
        <w:t xml:space="preserve">Of </w:t>
      </w:r>
      <w:r w:rsidRPr="00885A57">
        <w:rPr>
          <w:rFonts w:ascii="Times New Roman" w:eastAsia="標楷體" w:hAnsi="Times New Roman" w:cs="Times New Roman"/>
          <w:szCs w:val="24"/>
        </w:rPr>
        <w:t>adopted CYDs, five were adopted by domestic families (16.13</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and the other 26 (83.87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were adopted by foreign families through intercountry adoption due to difficulties in matching them with suitable adoptive parents in Taiwan.</w:t>
      </w:r>
    </w:p>
    <w:p w14:paraId="24734431" w14:textId="10E464BB" w:rsidR="00886F43" w:rsidRPr="00885A57" w:rsidRDefault="0001641B" w:rsidP="00C50226">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Concerning foster families or </w:t>
      </w:r>
      <w:r w:rsidR="002F273E">
        <w:rPr>
          <w:rFonts w:ascii="Times New Roman" w:eastAsia="標楷體" w:hAnsi="Times New Roman" w:cs="Times New Roman"/>
          <w:szCs w:val="24"/>
        </w:rPr>
        <w:t>residential care</w:t>
      </w:r>
      <w:r w:rsidRPr="00885A57">
        <w:rPr>
          <w:rFonts w:ascii="Times New Roman" w:eastAsia="標楷體" w:hAnsi="Times New Roman" w:cs="Times New Roman"/>
          <w:szCs w:val="24"/>
        </w:rPr>
        <w:t xml:space="preserve"> institutions housing CYDs, the government has increased commissioned placement funding to provide sufficient support. The government also launched care and support projects for children and </w:t>
      </w:r>
      <w:r w:rsidR="001F62CA">
        <w:rPr>
          <w:rFonts w:ascii="Times New Roman" w:eastAsia="標楷體" w:hAnsi="Times New Roman" w:cs="Times New Roman"/>
          <w:szCs w:val="24"/>
        </w:rPr>
        <w:t xml:space="preserve">youth with special needs or </w:t>
      </w:r>
      <w:r w:rsidR="001F62CA">
        <w:rPr>
          <w:rFonts w:ascii="Times New Roman" w:eastAsia="標楷體" w:hAnsi="Times New Roman" w:cs="Times New Roman" w:hint="eastAsia"/>
          <w:szCs w:val="24"/>
        </w:rPr>
        <w:t>d</w:t>
      </w:r>
      <w:r w:rsidR="001F62CA">
        <w:rPr>
          <w:rFonts w:ascii="Times New Roman" w:eastAsia="標楷體" w:hAnsi="Times New Roman" w:cs="Times New Roman"/>
          <w:szCs w:val="24"/>
        </w:rPr>
        <w:t>isabilities</w:t>
      </w:r>
      <w:r w:rsidRPr="00885A57">
        <w:rPr>
          <w:rFonts w:ascii="Times New Roman" w:eastAsia="標楷體" w:hAnsi="Times New Roman" w:cs="Times New Roman"/>
          <w:szCs w:val="24"/>
        </w:rPr>
        <w:t xml:space="preserve">, through which improved childcare, </w:t>
      </w:r>
      <w:r w:rsidRPr="00885A57">
        <w:rPr>
          <w:rFonts w:ascii="Times New Roman" w:eastAsia="標楷體" w:hAnsi="Times New Roman" w:cs="Times New Roman"/>
          <w:szCs w:val="24"/>
        </w:rPr>
        <w:lastRenderedPageBreak/>
        <w:t>early intervention, special education, medical outreach programs, and at-home services are provided to individuals according to their needs.</w:t>
      </w:r>
    </w:p>
    <w:p w14:paraId="7C0427BA" w14:textId="1757BB0E" w:rsidR="00A90A77" w:rsidRPr="00885A57" w:rsidRDefault="0001641B"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48" w:name="_Ref55912790"/>
      <w:r w:rsidRPr="00885A57">
        <w:rPr>
          <w:rFonts w:ascii="Times New Roman" w:eastAsia="標楷體" w:hAnsi="Times New Roman" w:cs="Times New Roman"/>
          <w:szCs w:val="24"/>
        </w:rPr>
        <w:t xml:space="preserve">To encourage </w:t>
      </w:r>
      <w:r w:rsidR="00A70F1D">
        <w:rPr>
          <w:rFonts w:ascii="Times New Roman" w:eastAsia="標楷體" w:hAnsi="Times New Roman" w:cs="Times New Roman"/>
          <w:szCs w:val="24"/>
        </w:rPr>
        <w:t xml:space="preserve">people </w:t>
      </w:r>
      <w:r w:rsidRPr="00885A57">
        <w:rPr>
          <w:rFonts w:ascii="Times New Roman" w:eastAsia="標楷體" w:hAnsi="Times New Roman" w:cs="Times New Roman"/>
          <w:szCs w:val="24"/>
        </w:rPr>
        <w:t xml:space="preserve">to adopt children and youth with special needs (including CYDs), the government added two indicators to the assessment of adoption matching service agencies in 2018, namely the development of the adoption matching service agency and alignment of external resources with supportive services for diverse adoptive families (including those with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Since 2019, the government has subsidized said agencies to provide supportive services for adoptive families (including those </w:t>
      </w:r>
      <w:r w:rsidR="009710C5">
        <w:rPr>
          <w:rFonts w:ascii="Times New Roman" w:eastAsia="標楷體" w:hAnsi="Times New Roman" w:cs="Times New Roman"/>
          <w:szCs w:val="24"/>
        </w:rPr>
        <w:t xml:space="preserve">whose members include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instructed the agencies to organize group work, courses, and activities, reinforced the understanding and acceptance of children and youth with special needs among domestic adoptive families, provided adoptive families with services including family psychological counseling, guidance, parenting education (instruction) along with respite care and early intervention, with the aim of improving the parenting abilities of families adopting individuals with disabilities.</w:t>
      </w:r>
      <w:bookmarkEnd w:id="148"/>
      <w:r w:rsidR="003171C0" w:rsidRPr="00885A57">
        <w:rPr>
          <w:rStyle w:val="ab"/>
          <w:rFonts w:ascii="Times New Roman" w:eastAsia="標楷體" w:hAnsi="Times New Roman" w:cs="Times New Roman"/>
        </w:rPr>
        <w:footnoteReference w:id="98"/>
      </w:r>
    </w:p>
    <w:p w14:paraId="5284A4A4" w14:textId="4F57E901" w:rsidR="00BB6DF4" w:rsidRPr="00885A57" w:rsidRDefault="00CA6001" w:rsidP="00C50226">
      <w:pPr>
        <w:pStyle w:val="10"/>
        <w:spacing w:after="120" w:line="360" w:lineRule="auto"/>
        <w:rPr>
          <w:rFonts w:ascii="Times New Roman" w:hAnsi="Times New Roman"/>
        </w:rPr>
      </w:pPr>
      <w:bookmarkStart w:id="149" w:name="_Toc73108693"/>
      <w:r w:rsidRPr="00885A57">
        <w:rPr>
          <w:rFonts w:ascii="Times New Roman" w:hAnsi="Times New Roman"/>
        </w:rPr>
        <w:t>Article 24</w:t>
      </w:r>
      <w:bookmarkStart w:id="150" w:name="_Toc55900604"/>
      <w:r w:rsidR="00B645D5" w:rsidRPr="00885A57">
        <w:rPr>
          <w:rFonts w:ascii="Times New Roman" w:hAnsi="Times New Roman"/>
        </w:rPr>
        <w:t xml:space="preserve">: </w:t>
      </w:r>
      <w:r w:rsidRPr="00885A57">
        <w:rPr>
          <w:rFonts w:ascii="Times New Roman" w:hAnsi="Times New Roman"/>
        </w:rPr>
        <w:t>Educ</w:t>
      </w:r>
      <w:r w:rsidR="0001641B" w:rsidRPr="00885A57">
        <w:rPr>
          <w:rFonts w:ascii="Times New Roman" w:hAnsi="Times New Roman"/>
        </w:rPr>
        <w:t>a</w:t>
      </w:r>
      <w:r w:rsidRPr="00885A57">
        <w:rPr>
          <w:rFonts w:ascii="Times New Roman" w:hAnsi="Times New Roman"/>
        </w:rPr>
        <w:t>tion</w:t>
      </w:r>
      <w:bookmarkEnd w:id="149"/>
      <w:r w:rsidR="001F2A66" w:rsidRPr="00885A57">
        <w:rPr>
          <w:rFonts w:ascii="Times New Roman" w:hAnsi="Times New Roman"/>
        </w:rPr>
        <w:tab/>
      </w:r>
      <w:r w:rsidR="001F2A66" w:rsidRPr="00885A57">
        <w:rPr>
          <w:rFonts w:ascii="Times New Roman" w:hAnsi="Times New Roman"/>
        </w:rPr>
        <w:tab/>
      </w:r>
      <w:r w:rsidR="001F2A66" w:rsidRPr="00885A57">
        <w:rPr>
          <w:rFonts w:ascii="Times New Roman" w:hAnsi="Times New Roman"/>
        </w:rPr>
        <w:tab/>
      </w:r>
      <w:r w:rsidR="001F2A66" w:rsidRPr="00885A57">
        <w:rPr>
          <w:rFonts w:ascii="Times New Roman" w:hAnsi="Times New Roman"/>
        </w:rPr>
        <w:tab/>
      </w:r>
      <w:r w:rsidR="001F2A66" w:rsidRPr="00885A57">
        <w:rPr>
          <w:rFonts w:ascii="Times New Roman" w:hAnsi="Times New Roman"/>
        </w:rPr>
        <w:tab/>
      </w:r>
      <w:r w:rsidR="001F2A66" w:rsidRPr="00885A57">
        <w:rPr>
          <w:rFonts w:ascii="Times New Roman" w:hAnsi="Times New Roman"/>
        </w:rPr>
        <w:tab/>
      </w:r>
      <w:r w:rsidR="001F2A66" w:rsidRPr="00885A57">
        <w:rPr>
          <w:rFonts w:ascii="Times New Roman" w:hAnsi="Times New Roman"/>
        </w:rPr>
        <w:tab/>
      </w:r>
      <w:r w:rsidR="001F2A66" w:rsidRPr="00885A57">
        <w:rPr>
          <w:rFonts w:ascii="Times New Roman" w:hAnsi="Times New Roman"/>
        </w:rPr>
        <w:tab/>
      </w:r>
      <w:r w:rsidR="001F2A66" w:rsidRPr="00885A57">
        <w:rPr>
          <w:rFonts w:ascii="Times New Roman" w:hAnsi="Times New Roman"/>
        </w:rPr>
        <w:tab/>
      </w:r>
      <w:r w:rsidR="001F2A66" w:rsidRPr="00885A57">
        <w:rPr>
          <w:rFonts w:ascii="Times New Roman" w:hAnsi="Times New Roman"/>
        </w:rPr>
        <w:tab/>
      </w:r>
      <w:r w:rsidR="00DA7FB8" w:rsidRPr="00885A57">
        <w:rPr>
          <w:rFonts w:ascii="Times New Roman" w:hAnsi="Times New Roman"/>
        </w:rPr>
        <w:tab/>
      </w:r>
      <w:bookmarkEnd w:id="150"/>
    </w:p>
    <w:p w14:paraId="1C60B1E9" w14:textId="1BAFBE90" w:rsidR="00E3377E" w:rsidRPr="00885A57" w:rsidRDefault="003171C0" w:rsidP="00C50226">
      <w:pPr>
        <w:pStyle w:val="a7"/>
        <w:numPr>
          <w:ilvl w:val="0"/>
          <w:numId w:val="45"/>
        </w:numPr>
        <w:spacing w:after="120" w:line="360" w:lineRule="auto"/>
        <w:ind w:leftChars="0" w:left="567" w:hanging="567"/>
        <w:jc w:val="both"/>
        <w:rPr>
          <w:rStyle w:val="ab"/>
          <w:rFonts w:ascii="Times New Roman" w:eastAsia="標楷體" w:hAnsi="Times New Roman" w:cs="Times New Roman"/>
          <w:szCs w:val="24"/>
          <w:vertAlign w:val="baseline"/>
        </w:rPr>
      </w:pPr>
      <w:r w:rsidRPr="00885A57">
        <w:rPr>
          <w:rFonts w:ascii="Times New Roman" w:eastAsia="標楷體" w:hAnsi="Times New Roman" w:cs="Times New Roman"/>
          <w:szCs w:val="24"/>
        </w:rPr>
        <w:t xml:space="preserve">For instruction of Taiwan Sign Language within the education system, </w:t>
      </w:r>
      <w:r w:rsidR="00965C0F">
        <w:rPr>
          <w:rFonts w:ascii="Times New Roman" w:eastAsia="標楷體" w:hAnsi="Times New Roman" w:cs="Times New Roman"/>
          <w:szCs w:val="24"/>
        </w:rPr>
        <w:t>please refer to Article 21</w:t>
      </w:r>
      <w:r w:rsidR="0082318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Freedom of expression and opinion and access to information (Points </w:t>
      </w:r>
      <w:r w:rsidRPr="00885A57">
        <w:rPr>
          <w:rFonts w:ascii="Times New Roman" w:eastAsia="標楷體" w:hAnsi="Times New Roman" w:cs="Times New Roman"/>
          <w:szCs w:val="24"/>
        </w:rPr>
        <w:fldChar w:fldCharType="begin"/>
      </w:r>
      <w:r w:rsidRPr="00885A57">
        <w:rPr>
          <w:rFonts w:ascii="Times New Roman" w:eastAsia="標楷體" w:hAnsi="Times New Roman" w:cs="Times New Roman"/>
          <w:szCs w:val="24"/>
        </w:rPr>
        <w:instrText xml:space="preserve"> REF _Ref52269124 \r \h  \* MERGEFORMAT </w:instrText>
      </w:r>
      <w:r w:rsidRPr="00885A57">
        <w:rPr>
          <w:rFonts w:ascii="Times New Roman" w:eastAsia="標楷體" w:hAnsi="Times New Roman" w:cs="Times New Roman"/>
          <w:szCs w:val="24"/>
        </w:rPr>
      </w:r>
      <w:r w:rsidRPr="00885A57">
        <w:rPr>
          <w:rFonts w:ascii="Times New Roman" w:eastAsia="標楷體" w:hAnsi="Times New Roman" w:cs="Times New Roman"/>
          <w:szCs w:val="24"/>
        </w:rPr>
        <w:fldChar w:fldCharType="separate"/>
      </w:r>
      <w:r w:rsidR="00F00A73">
        <w:rPr>
          <w:rFonts w:ascii="Times New Roman" w:eastAsia="標楷體" w:hAnsi="Times New Roman" w:cs="Times New Roman"/>
          <w:szCs w:val="24"/>
        </w:rPr>
        <w:t>165</w:t>
      </w:r>
      <w:r w:rsidRPr="00885A57">
        <w:rPr>
          <w:rFonts w:ascii="Times New Roman" w:eastAsia="標楷體" w:hAnsi="Times New Roman" w:cs="Times New Roman"/>
          <w:szCs w:val="24"/>
        </w:rPr>
        <w:fldChar w:fldCharType="end"/>
      </w:r>
      <w:r w:rsidRPr="00885A57">
        <w:rPr>
          <w:rFonts w:ascii="Times New Roman" w:eastAsia="標楷體" w:hAnsi="Times New Roman" w:cs="Times New Roman"/>
          <w:szCs w:val="24"/>
        </w:rPr>
        <w:t xml:space="preserve"> and 1</w:t>
      </w:r>
      <w:r w:rsidR="00AB238D" w:rsidRPr="00885A57">
        <w:rPr>
          <w:rFonts w:ascii="Times New Roman" w:eastAsia="標楷體" w:hAnsi="Times New Roman" w:cs="Times New Roman"/>
          <w:szCs w:val="24"/>
        </w:rPr>
        <w:t>66</w:t>
      </w:r>
      <w:r w:rsidRPr="00885A57">
        <w:rPr>
          <w:rFonts w:ascii="Times New Roman" w:eastAsia="標楷體" w:hAnsi="Times New Roman" w:cs="Times New Roman"/>
          <w:szCs w:val="24"/>
        </w:rPr>
        <w:t>).</w:t>
      </w:r>
    </w:p>
    <w:p w14:paraId="44960712" w14:textId="402E66D1" w:rsidR="00D35C49" w:rsidRPr="00885A57" w:rsidRDefault="003171C0" w:rsidP="001A2139">
      <w:pPr>
        <w:pStyle w:val="a7"/>
        <w:spacing w:after="120" w:line="360" w:lineRule="auto"/>
        <w:ind w:leftChars="0" w:left="0"/>
        <w:jc w:val="both"/>
        <w:rPr>
          <w:rFonts w:ascii="Times New Roman" w:eastAsia="標楷體" w:hAnsi="Times New Roman" w:cs="Times New Roman"/>
          <w:szCs w:val="24"/>
        </w:rPr>
      </w:pPr>
      <w:r w:rsidRPr="00885A57">
        <w:rPr>
          <w:rFonts w:ascii="Times New Roman" w:eastAsia="標楷體" w:hAnsi="Times New Roman" w:cs="Times New Roman"/>
        </w:rPr>
        <w:t xml:space="preserve">A.  </w:t>
      </w:r>
      <w:r w:rsidRPr="00885A57">
        <w:rPr>
          <w:rFonts w:ascii="Times New Roman" w:eastAsia="標楷體" w:hAnsi="Times New Roman" w:cs="Times New Roman"/>
          <w:szCs w:val="24"/>
        </w:rPr>
        <w:t>Nondiscrimination, equal opportunity, and inclusive education</w:t>
      </w:r>
    </w:p>
    <w:p w14:paraId="05849EE1" w14:textId="68119BC3" w:rsidR="00EE3124" w:rsidRPr="00885A57" w:rsidRDefault="003171C0"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51" w:name="_Ref52267953"/>
      <w:r w:rsidRPr="00885A57">
        <w:rPr>
          <w:rFonts w:ascii="Times New Roman" w:eastAsia="標楷體" w:hAnsi="Times New Roman" w:cs="Times New Roman"/>
          <w:szCs w:val="24"/>
        </w:rPr>
        <w:lastRenderedPageBreak/>
        <w:t xml:space="preserve">The SEA </w:t>
      </w:r>
      <w:r w:rsidR="00A70F1D">
        <w:rPr>
          <w:rFonts w:ascii="Times New Roman" w:eastAsia="標楷體" w:hAnsi="Times New Roman" w:cs="Times New Roman"/>
          <w:szCs w:val="24"/>
        </w:rPr>
        <w:t xml:space="preserve">is designed </w:t>
      </w:r>
      <w:r w:rsidRPr="00885A57">
        <w:rPr>
          <w:rFonts w:ascii="Times New Roman" w:eastAsia="標楷體" w:hAnsi="Times New Roman" w:cs="Times New Roman"/>
          <w:szCs w:val="24"/>
        </w:rPr>
        <w:t xml:space="preserve">to protect the right to </w:t>
      </w:r>
      <w:r w:rsidR="000E2727">
        <w:rPr>
          <w:rFonts w:ascii="Times New Roman" w:eastAsia="標楷體" w:hAnsi="Times New Roman" w:cs="Times New Roman"/>
          <w:szCs w:val="24"/>
        </w:rPr>
        <w:t>a</w:t>
      </w:r>
      <w:r w:rsidR="000E2727">
        <w:rPr>
          <w:rFonts w:ascii="Times New Roman" w:eastAsia="標楷體" w:hAnsi="Times New Roman" w:cs="Times New Roman" w:hint="eastAsia"/>
          <w:szCs w:val="24"/>
        </w:rPr>
        <w:t>p</w:t>
      </w:r>
      <w:r w:rsidR="000E2727">
        <w:rPr>
          <w:rFonts w:ascii="Times New Roman" w:eastAsia="標楷體" w:hAnsi="Times New Roman" w:cs="Times New Roman"/>
          <w:szCs w:val="24"/>
        </w:rPr>
        <w:t>propriate</w:t>
      </w:r>
      <w:r w:rsidRPr="00885A57">
        <w:rPr>
          <w:rFonts w:ascii="Times New Roman" w:eastAsia="標楷體" w:hAnsi="Times New Roman" w:cs="Times New Roman"/>
          <w:szCs w:val="24"/>
        </w:rPr>
        <w:t xml:space="preserve"> education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Through professional assessment and identification, those deemed to have special needs are offered special education from the age of </w:t>
      </w:r>
      <w:r w:rsidR="003736C5" w:rsidRPr="00885A57">
        <w:rPr>
          <w:rFonts w:ascii="Times New Roman" w:eastAsia="標楷體" w:hAnsi="Times New Roman" w:cs="Times New Roman"/>
          <w:szCs w:val="24"/>
        </w:rPr>
        <w:t>two</w:t>
      </w:r>
      <w:r w:rsidRPr="00885A57">
        <w:rPr>
          <w:rFonts w:ascii="Times New Roman" w:eastAsia="標楷體" w:hAnsi="Times New Roman" w:cs="Times New Roman"/>
          <w:szCs w:val="24"/>
        </w:rPr>
        <w:t xml:space="preserve"> years </w:t>
      </w:r>
      <w:r w:rsidR="00823187">
        <w:rPr>
          <w:rFonts w:ascii="Times New Roman" w:eastAsia="標楷體" w:hAnsi="Times New Roman" w:cs="Times New Roman"/>
          <w:szCs w:val="24"/>
        </w:rPr>
        <w:t xml:space="preserve">through </w:t>
      </w:r>
      <w:r w:rsidRPr="00885A57">
        <w:rPr>
          <w:rFonts w:ascii="Times New Roman" w:eastAsia="標楷體" w:hAnsi="Times New Roman" w:cs="Times New Roman"/>
          <w:szCs w:val="24"/>
        </w:rPr>
        <w:t>higher education. The SEA specifies that schools must not reject student admission or test participation on the grounds of disability. When consulting, planning, and discussing special</w:t>
      </w:r>
      <w:r w:rsidR="003F6195">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education policies and measures, education authorities and schools shall invite </w:t>
      </w:r>
      <w:r w:rsidRPr="00F370E0">
        <w:rPr>
          <w:rFonts w:ascii="Times New Roman" w:eastAsia="標楷體" w:hAnsi="Times New Roman" w:cs="Times New Roman"/>
          <w:szCs w:val="24"/>
        </w:rPr>
        <w:t>people</w:t>
      </w:r>
      <w:r w:rsidRPr="00885A57">
        <w:rPr>
          <w:rFonts w:ascii="Times New Roman" w:eastAsia="標楷體" w:hAnsi="Times New Roman" w:cs="Times New Roman"/>
          <w:szCs w:val="24"/>
        </w:rPr>
        <w:t xml:space="preserve"> with disabilities and their representative organizations, scholars, and experts to join. </w:t>
      </w:r>
      <w:r w:rsidRPr="00A70F1D">
        <w:rPr>
          <w:rFonts w:ascii="Times New Roman" w:eastAsia="標楷體" w:hAnsi="Times New Roman" w:cs="Times New Roman"/>
          <w:szCs w:val="24"/>
        </w:rPr>
        <w:t>An IEP</w:t>
      </w:r>
      <w:r w:rsidRPr="00885A57">
        <w:rPr>
          <w:rFonts w:ascii="Times New Roman" w:eastAsia="標楷體" w:hAnsi="Times New Roman" w:cs="Times New Roman"/>
          <w:szCs w:val="24"/>
        </w:rPr>
        <w:t xml:space="preserve"> must be designed for each student with disabilities and detail educational goals, curricular accommodations, and relevant resources; during said IEP design, students and parents may express their opinions and discuss content decisions or changes with relevant teachers and administrative staff, after which the IEP is implemented upon parents’ approval.</w:t>
      </w:r>
      <w:bookmarkEnd w:id="151"/>
      <w:r w:rsidRPr="00885A57">
        <w:rPr>
          <w:rStyle w:val="ab"/>
          <w:rFonts w:ascii="Times New Roman" w:eastAsia="標楷體" w:hAnsi="Times New Roman" w:cs="Times New Roman"/>
        </w:rPr>
        <w:footnoteReference w:id="99"/>
      </w:r>
    </w:p>
    <w:p w14:paraId="740C88A4" w14:textId="7F38F907" w:rsidR="00E3377E" w:rsidRPr="00885A57" w:rsidRDefault="003171C0" w:rsidP="00C50226">
      <w:pPr>
        <w:pStyle w:val="a7"/>
        <w:numPr>
          <w:ilvl w:val="0"/>
          <w:numId w:val="45"/>
        </w:numPr>
        <w:spacing w:after="120" w:line="360" w:lineRule="auto"/>
        <w:ind w:leftChars="0" w:left="567" w:hanging="567"/>
        <w:jc w:val="both"/>
        <w:rPr>
          <w:rFonts w:ascii="Times New Roman" w:eastAsia="標楷體" w:hAnsi="Times New Roman" w:cs="Times New Roman"/>
          <w:sz w:val="22"/>
          <w:szCs w:val="24"/>
        </w:rPr>
      </w:pPr>
      <w:bookmarkStart w:id="152" w:name="_Ref45902139"/>
      <w:r w:rsidRPr="00885A57">
        <w:rPr>
          <w:rFonts w:ascii="Times New Roman" w:eastAsia="標楷體" w:hAnsi="Times New Roman" w:cs="Times New Roman"/>
          <w:szCs w:val="24"/>
        </w:rPr>
        <w:t>To systemically leverage the strengths of inclusive education, the MOE put forward the Medium-Term Project for Special Education (2019</w:t>
      </w:r>
      <w:r w:rsidR="00823187">
        <w:rPr>
          <w:rFonts w:ascii="Times New Roman" w:eastAsia="標楷體" w:hAnsi="Times New Roman" w:cs="Times New Roman"/>
          <w:szCs w:val="24"/>
        </w:rPr>
        <w:t>-</w:t>
      </w:r>
      <w:r w:rsidRPr="00885A57">
        <w:rPr>
          <w:rFonts w:ascii="Times New Roman" w:eastAsia="標楷體" w:hAnsi="Times New Roman" w:cs="Times New Roman"/>
          <w:szCs w:val="24"/>
        </w:rPr>
        <w:t>2023 academic years). With educational inclusion and nurture by nature as a blueprint, the ministry launched the Implementation Plan of Improving Inclusive Education for Students in Senior High Schools to achieve zero rejections, inclusive educatio</w:t>
      </w:r>
      <w:r w:rsidR="000E2727">
        <w:rPr>
          <w:rFonts w:ascii="Times New Roman" w:eastAsia="標楷體" w:hAnsi="Times New Roman" w:cs="Times New Roman"/>
          <w:szCs w:val="24"/>
        </w:rPr>
        <w:t>n, equal opportunity, and a</w:t>
      </w:r>
      <w:r w:rsidR="000E2727">
        <w:rPr>
          <w:rFonts w:ascii="Times New Roman" w:eastAsia="標楷體" w:hAnsi="Times New Roman" w:cs="Times New Roman" w:hint="eastAsia"/>
          <w:szCs w:val="24"/>
        </w:rPr>
        <w:t>p</w:t>
      </w:r>
      <w:r w:rsidR="000E2727">
        <w:rPr>
          <w:rFonts w:ascii="Times New Roman" w:eastAsia="標楷體" w:hAnsi="Times New Roman" w:cs="Times New Roman"/>
          <w:szCs w:val="24"/>
        </w:rPr>
        <w:t>propriate</w:t>
      </w:r>
      <w:r w:rsidR="000E2727"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development policies. To boost the development of special education expertise, teachers of normal classes must complete special education courses during job orientation and attend special education workshops for at least three hours per year. An investigation reported </w:t>
      </w:r>
      <w:r w:rsidRPr="00885A57">
        <w:rPr>
          <w:rFonts w:ascii="Times New Roman" w:eastAsia="標楷體" w:hAnsi="Times New Roman" w:cs="Times New Roman"/>
          <w:szCs w:val="24"/>
        </w:rPr>
        <w:lastRenderedPageBreak/>
        <w:t>that the percentages of teachers meeting said requirement were 79</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77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76</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and 76</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respectively, between 2016 and 2019. For improvements in integrated concepts and disability awareness among students, please refer to Article 8</w:t>
      </w:r>
      <w:r w:rsidR="00823187">
        <w:rPr>
          <w:rFonts w:ascii="Times New Roman" w:eastAsia="標楷體" w:hAnsi="Times New Roman" w:cs="Times New Roman"/>
          <w:szCs w:val="24"/>
        </w:rPr>
        <w:t xml:space="preserve">: </w:t>
      </w:r>
      <w:r w:rsidRPr="00885A57">
        <w:rPr>
          <w:rFonts w:ascii="Times New Roman" w:eastAsia="標楷體" w:hAnsi="Times New Roman" w:cs="Times New Roman"/>
          <w:szCs w:val="24"/>
        </w:rPr>
        <w:t>Awareness</w:t>
      </w:r>
      <w:r w:rsidR="003F6195">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raising (Points </w:t>
      </w:r>
      <w:r w:rsidRPr="00885A57">
        <w:rPr>
          <w:rFonts w:ascii="Times New Roman" w:eastAsia="標楷體" w:hAnsi="Times New Roman" w:cs="Times New Roman"/>
          <w:szCs w:val="24"/>
        </w:rPr>
        <w:fldChar w:fldCharType="begin"/>
      </w:r>
      <w:r w:rsidRPr="00885A57">
        <w:rPr>
          <w:rFonts w:ascii="Times New Roman" w:eastAsia="標楷體" w:hAnsi="Times New Roman" w:cs="Times New Roman"/>
          <w:szCs w:val="24"/>
        </w:rPr>
        <w:instrText xml:space="preserve"> REF _Ref52263233 \r \h  \* MERGEFORMAT </w:instrText>
      </w:r>
      <w:r w:rsidRPr="00885A57">
        <w:rPr>
          <w:rFonts w:ascii="Times New Roman" w:eastAsia="標楷體" w:hAnsi="Times New Roman" w:cs="Times New Roman"/>
          <w:szCs w:val="24"/>
        </w:rPr>
      </w:r>
      <w:r w:rsidRPr="00885A57">
        <w:rPr>
          <w:rFonts w:ascii="Times New Roman" w:eastAsia="標楷體" w:hAnsi="Times New Roman" w:cs="Times New Roman"/>
          <w:szCs w:val="24"/>
        </w:rPr>
        <w:fldChar w:fldCharType="separate"/>
      </w:r>
      <w:r w:rsidR="00F00A73">
        <w:rPr>
          <w:rFonts w:ascii="Times New Roman" w:eastAsia="標楷體" w:hAnsi="Times New Roman" w:cs="Times New Roman"/>
          <w:szCs w:val="24"/>
        </w:rPr>
        <w:t>58</w:t>
      </w:r>
      <w:r w:rsidRPr="00885A57">
        <w:rPr>
          <w:rFonts w:ascii="Times New Roman" w:eastAsia="標楷體" w:hAnsi="Times New Roman" w:cs="Times New Roman"/>
          <w:szCs w:val="24"/>
        </w:rPr>
        <w:fldChar w:fldCharType="end"/>
      </w:r>
      <w:r w:rsidRPr="00885A57">
        <w:rPr>
          <w:rFonts w:ascii="Times New Roman" w:eastAsia="標楷體" w:hAnsi="Times New Roman" w:cs="Times New Roman"/>
          <w:szCs w:val="24"/>
        </w:rPr>
        <w:t xml:space="preserve"> and </w:t>
      </w:r>
      <w:r w:rsidRPr="00885A57">
        <w:rPr>
          <w:rFonts w:ascii="Times New Roman" w:eastAsia="標楷體" w:hAnsi="Times New Roman" w:cs="Times New Roman"/>
          <w:szCs w:val="24"/>
        </w:rPr>
        <w:fldChar w:fldCharType="begin"/>
      </w:r>
      <w:r w:rsidRPr="00885A57">
        <w:rPr>
          <w:rFonts w:ascii="Times New Roman" w:eastAsia="標楷體" w:hAnsi="Times New Roman" w:cs="Times New Roman"/>
          <w:szCs w:val="24"/>
        </w:rPr>
        <w:instrText xml:space="preserve"> REF _Ref52263238 \r \h  \* MERGEFORMAT </w:instrText>
      </w:r>
      <w:r w:rsidRPr="00885A57">
        <w:rPr>
          <w:rFonts w:ascii="Times New Roman" w:eastAsia="標楷體" w:hAnsi="Times New Roman" w:cs="Times New Roman"/>
          <w:szCs w:val="24"/>
        </w:rPr>
      </w:r>
      <w:r w:rsidRPr="00885A57">
        <w:rPr>
          <w:rFonts w:ascii="Times New Roman" w:eastAsia="標楷體" w:hAnsi="Times New Roman" w:cs="Times New Roman"/>
          <w:szCs w:val="24"/>
        </w:rPr>
        <w:fldChar w:fldCharType="separate"/>
      </w:r>
      <w:r w:rsidR="00F00A73">
        <w:rPr>
          <w:rFonts w:ascii="Times New Roman" w:eastAsia="標楷體" w:hAnsi="Times New Roman" w:cs="Times New Roman"/>
          <w:szCs w:val="24"/>
        </w:rPr>
        <w:t>59</w:t>
      </w:r>
      <w:r w:rsidRPr="00885A57">
        <w:rPr>
          <w:rFonts w:ascii="Times New Roman" w:eastAsia="標楷體" w:hAnsi="Times New Roman" w:cs="Times New Roman"/>
          <w:szCs w:val="24"/>
        </w:rPr>
        <w:fldChar w:fldCharType="end"/>
      </w:r>
      <w:r w:rsidRPr="00885A57">
        <w:rPr>
          <w:rFonts w:ascii="Times New Roman" w:eastAsia="標楷體" w:hAnsi="Times New Roman" w:cs="Times New Roman"/>
          <w:szCs w:val="24"/>
        </w:rPr>
        <w:t>).</w:t>
      </w:r>
      <w:bookmarkEnd w:id="152"/>
      <w:r w:rsidRPr="00885A57">
        <w:rPr>
          <w:rStyle w:val="ab"/>
          <w:rFonts w:ascii="Times New Roman" w:eastAsia="標楷體" w:hAnsi="Times New Roman" w:cs="Times New Roman"/>
        </w:rPr>
        <w:footnoteReference w:id="100"/>
      </w:r>
    </w:p>
    <w:p w14:paraId="5DD727F5" w14:textId="08583F29" w:rsidR="0022554E" w:rsidRPr="00885A57" w:rsidRDefault="003171C0" w:rsidP="006F04A1">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53" w:name="_Ref55913223"/>
      <w:r w:rsidRPr="00885A57">
        <w:rPr>
          <w:rFonts w:ascii="Times New Roman" w:eastAsia="標楷體" w:hAnsi="Times New Roman" w:cs="Times New Roman"/>
          <w:szCs w:val="24"/>
        </w:rPr>
        <w:t>Special education in Taiwan aims for full inclusion. The amendment to the SEA in 1997 specified the least restrictive environment and guaranteed appropriate assistance for students with disabilities in general classes. The 2009 amendment mandated that special education achieve individualization, community</w:t>
      </w:r>
      <w:r w:rsidR="00224AB3">
        <w:rPr>
          <w:rFonts w:ascii="Times New Roman" w:eastAsia="標楷體" w:hAnsi="Times New Roman" w:cs="Times New Roman"/>
          <w:szCs w:val="24"/>
        </w:rPr>
        <w:t>-based</w:t>
      </w:r>
      <w:r w:rsidRPr="00885A57">
        <w:rPr>
          <w:rFonts w:ascii="Times New Roman" w:eastAsia="標楷體" w:hAnsi="Times New Roman" w:cs="Times New Roman"/>
          <w:szCs w:val="24"/>
        </w:rPr>
        <w:t xml:space="preserve">, accessibility, and inclusive education and be provided close to home and in </w:t>
      </w:r>
      <w:r w:rsidR="00823187">
        <w:rPr>
          <w:rFonts w:ascii="Times New Roman" w:eastAsia="標楷體" w:hAnsi="Times New Roman" w:cs="Times New Roman"/>
          <w:szCs w:val="24"/>
        </w:rPr>
        <w:t xml:space="preserve">regular </w:t>
      </w:r>
      <w:r w:rsidRPr="00885A57">
        <w:rPr>
          <w:rFonts w:ascii="Times New Roman" w:eastAsia="標楷體" w:hAnsi="Times New Roman" w:cs="Times New Roman"/>
          <w:szCs w:val="24"/>
        </w:rPr>
        <w:t xml:space="preserve">schools to the extent possible. To provide </w:t>
      </w:r>
      <w:r w:rsidR="000E2727">
        <w:rPr>
          <w:rFonts w:ascii="Times New Roman" w:eastAsia="標楷體" w:hAnsi="Times New Roman" w:cs="Times New Roman"/>
          <w:szCs w:val="24"/>
        </w:rPr>
        <w:t>a</w:t>
      </w:r>
      <w:r w:rsidR="000E2727">
        <w:rPr>
          <w:rFonts w:ascii="Times New Roman" w:eastAsia="標楷體" w:hAnsi="Times New Roman" w:cs="Times New Roman" w:hint="eastAsia"/>
          <w:szCs w:val="24"/>
        </w:rPr>
        <w:t>p</w:t>
      </w:r>
      <w:r w:rsidR="000E2727">
        <w:rPr>
          <w:rFonts w:ascii="Times New Roman" w:eastAsia="標楷體" w:hAnsi="Times New Roman" w:cs="Times New Roman"/>
          <w:szCs w:val="24"/>
        </w:rPr>
        <w:t>propriate</w:t>
      </w:r>
      <w:r w:rsidR="000E2727"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special education, a </w:t>
      </w:r>
      <w:r w:rsidR="00A746C0">
        <w:rPr>
          <w:rFonts w:ascii="Times New Roman" w:eastAsia="標楷體" w:hAnsi="Times New Roman" w:cs="Times New Roman"/>
          <w:szCs w:val="24"/>
        </w:rPr>
        <w:t>c</w:t>
      </w:r>
      <w:r w:rsidRPr="00885A57">
        <w:rPr>
          <w:rFonts w:ascii="Times New Roman" w:eastAsia="標楷體" w:hAnsi="Times New Roman" w:cs="Times New Roman"/>
          <w:szCs w:val="24"/>
        </w:rPr>
        <w:t xml:space="preserve">ommittee </w:t>
      </w:r>
      <w:r w:rsidR="00A746C0">
        <w:rPr>
          <w:rFonts w:ascii="Times New Roman" w:eastAsia="標楷體" w:hAnsi="Times New Roman" w:cs="Times New Roman"/>
          <w:szCs w:val="24"/>
        </w:rPr>
        <w:t>r</w:t>
      </w:r>
      <w:r w:rsidRPr="00885A57">
        <w:rPr>
          <w:rFonts w:ascii="Times New Roman" w:eastAsia="標楷體" w:hAnsi="Times New Roman" w:cs="Times New Roman"/>
          <w:szCs w:val="24"/>
        </w:rPr>
        <w:t xml:space="preserve">esponsible for </w:t>
      </w:r>
      <w:r w:rsidR="00A746C0">
        <w:rPr>
          <w:rFonts w:ascii="Times New Roman" w:eastAsia="標楷體" w:hAnsi="Times New Roman" w:cs="Times New Roman"/>
          <w:szCs w:val="24"/>
        </w:rPr>
        <w:t>i</w:t>
      </w:r>
      <w:r w:rsidRPr="00885A57">
        <w:rPr>
          <w:rFonts w:ascii="Times New Roman" w:eastAsia="標楷體" w:hAnsi="Times New Roman" w:cs="Times New Roman"/>
          <w:szCs w:val="24"/>
        </w:rPr>
        <w:t xml:space="preserve">dentification and </w:t>
      </w:r>
      <w:r w:rsidR="00A746C0">
        <w:rPr>
          <w:rFonts w:ascii="Times New Roman" w:eastAsia="標楷體" w:hAnsi="Times New Roman" w:cs="Times New Roman"/>
          <w:szCs w:val="24"/>
        </w:rPr>
        <w:t>p</w:t>
      </w:r>
      <w:r w:rsidRPr="00885A57">
        <w:rPr>
          <w:rFonts w:ascii="Times New Roman" w:eastAsia="標楷體" w:hAnsi="Times New Roman" w:cs="Times New Roman"/>
          <w:szCs w:val="24"/>
        </w:rPr>
        <w:t xml:space="preserve">lacement of </w:t>
      </w:r>
      <w:r w:rsidR="00A746C0">
        <w:rPr>
          <w:rFonts w:ascii="Times New Roman" w:eastAsia="標楷體" w:hAnsi="Times New Roman" w:cs="Times New Roman"/>
          <w:szCs w:val="24"/>
        </w:rPr>
        <w:t>g</w:t>
      </w:r>
      <w:r w:rsidRPr="00885A57">
        <w:rPr>
          <w:rFonts w:ascii="Times New Roman" w:eastAsia="標楷體" w:hAnsi="Times New Roman" w:cs="Times New Roman"/>
          <w:szCs w:val="24"/>
        </w:rPr>
        <w:t xml:space="preserve">ifted and </w:t>
      </w:r>
      <w:r w:rsidR="00A746C0">
        <w:rPr>
          <w:rFonts w:ascii="Times New Roman" w:eastAsia="標楷體" w:hAnsi="Times New Roman" w:cs="Times New Roman"/>
          <w:szCs w:val="24"/>
        </w:rPr>
        <w:t>d</w:t>
      </w:r>
      <w:r w:rsidRPr="00885A57">
        <w:rPr>
          <w:rFonts w:ascii="Times New Roman" w:eastAsia="標楷體" w:hAnsi="Times New Roman" w:cs="Times New Roman"/>
          <w:szCs w:val="24"/>
        </w:rPr>
        <w:t xml:space="preserve">isabled </w:t>
      </w:r>
      <w:r w:rsidR="00A746C0">
        <w:rPr>
          <w:rFonts w:ascii="Times New Roman" w:eastAsia="標楷體" w:hAnsi="Times New Roman" w:cs="Times New Roman"/>
          <w:szCs w:val="24"/>
        </w:rPr>
        <w:t>s</w:t>
      </w:r>
      <w:r w:rsidRPr="00885A57">
        <w:rPr>
          <w:rFonts w:ascii="Times New Roman" w:eastAsia="標楷體" w:hAnsi="Times New Roman" w:cs="Times New Roman"/>
          <w:szCs w:val="24"/>
        </w:rPr>
        <w:t xml:space="preserve">tudents has been established by </w:t>
      </w:r>
      <w:r w:rsidR="00465808">
        <w:rPr>
          <w:rFonts w:ascii="Times New Roman" w:eastAsia="標楷體" w:hAnsi="Times New Roman" w:cs="Times New Roman"/>
          <w:szCs w:val="24"/>
        </w:rPr>
        <w:t>governments at all levels</w:t>
      </w:r>
      <w:r w:rsidRPr="00885A57">
        <w:rPr>
          <w:rFonts w:ascii="Times New Roman" w:eastAsia="標楷體" w:hAnsi="Times New Roman" w:cs="Times New Roman"/>
          <w:szCs w:val="24"/>
        </w:rPr>
        <w:t xml:space="preserve">, specializing in identifying </w:t>
      </w:r>
      <w:r w:rsidR="00823187">
        <w:rPr>
          <w:rFonts w:ascii="Times New Roman" w:eastAsia="標楷體" w:hAnsi="Times New Roman" w:cs="Times New Roman"/>
          <w:szCs w:val="24"/>
        </w:rPr>
        <w:t xml:space="preserve">the </w:t>
      </w:r>
      <w:r w:rsidRPr="00885A57">
        <w:rPr>
          <w:rFonts w:ascii="Times New Roman" w:eastAsia="標楷體" w:hAnsi="Times New Roman" w:cs="Times New Roman"/>
          <w:szCs w:val="24"/>
        </w:rPr>
        <w:t>learning needs of each student concerned. With the consent of the student’s guardian or legal representative, the committee enrolls the student in a suitable school and class. In 2019, 95</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students with disabilities studied with </w:t>
      </w:r>
      <w:r w:rsidR="00972518" w:rsidRPr="00885A57">
        <w:rPr>
          <w:rFonts w:ascii="Times New Roman" w:eastAsia="標楷體" w:hAnsi="Times New Roman" w:cs="Times New Roman"/>
          <w:szCs w:val="24"/>
        </w:rPr>
        <w:t>nondisabled students</w:t>
      </w:r>
      <w:r w:rsidRPr="00885A57">
        <w:rPr>
          <w:rFonts w:ascii="Times New Roman" w:eastAsia="標楷體" w:hAnsi="Times New Roman" w:cs="Times New Roman"/>
          <w:szCs w:val="24"/>
        </w:rPr>
        <w:t xml:space="preserve"> at general schools (84</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were enrolled in general classes, and 11</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were in self-contained </w:t>
      </w:r>
      <w:r w:rsidR="00424B95">
        <w:rPr>
          <w:rFonts w:ascii="Times New Roman" w:eastAsia="標楷體" w:hAnsi="Times New Roman" w:cs="Times New Roman"/>
          <w:szCs w:val="24"/>
        </w:rPr>
        <w:t>classes</w:t>
      </w:r>
      <w:r w:rsidRPr="00885A57">
        <w:rPr>
          <w:rFonts w:ascii="Times New Roman" w:eastAsia="標楷體" w:hAnsi="Times New Roman" w:cs="Times New Roman"/>
          <w:szCs w:val="24"/>
        </w:rPr>
        <w:t xml:space="preserve">; students studying in self-contained </w:t>
      </w:r>
      <w:r w:rsidR="00424B95">
        <w:rPr>
          <w:rFonts w:ascii="Times New Roman" w:eastAsia="標楷體" w:hAnsi="Times New Roman" w:cs="Times New Roman"/>
          <w:szCs w:val="24"/>
        </w:rPr>
        <w:t>classes</w:t>
      </w:r>
      <w:r w:rsidRPr="00885A57">
        <w:rPr>
          <w:rFonts w:ascii="Times New Roman" w:eastAsia="標楷體" w:hAnsi="Times New Roman" w:cs="Times New Roman"/>
          <w:szCs w:val="24"/>
        </w:rPr>
        <w:t xml:space="preserve"> also spent some time taking a class or attending activities with </w:t>
      </w:r>
      <w:r w:rsidR="00823187">
        <w:rPr>
          <w:rFonts w:ascii="Times New Roman" w:eastAsia="標楷體" w:hAnsi="Times New Roman" w:cs="Times New Roman"/>
          <w:szCs w:val="24"/>
        </w:rPr>
        <w:t>regular</w:t>
      </w:r>
      <w:r w:rsidR="00823187"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class students). The remaining </w:t>
      </w:r>
      <w:r w:rsidR="003F6195">
        <w:rPr>
          <w:rFonts w:ascii="Times New Roman" w:eastAsia="標楷體" w:hAnsi="Times New Roman" w:cs="Times New Roman"/>
          <w:szCs w:val="24"/>
        </w:rPr>
        <w:t>five</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such students studied at special education schools (Table 24.1). With Taiwan actively promoting inclusive education, the percentages of students with disabilities who studied </w:t>
      </w:r>
      <w:r w:rsidR="00823187">
        <w:rPr>
          <w:rFonts w:ascii="Times New Roman" w:eastAsia="標楷體" w:hAnsi="Times New Roman" w:cs="Times New Roman"/>
          <w:szCs w:val="24"/>
        </w:rPr>
        <w:t xml:space="preserve">at </w:t>
      </w:r>
      <w:r w:rsidRPr="00885A57">
        <w:rPr>
          <w:rFonts w:ascii="Times New Roman" w:eastAsia="標楷體" w:hAnsi="Times New Roman" w:cs="Times New Roman"/>
          <w:szCs w:val="24"/>
        </w:rPr>
        <w:t>special education schools decreased from 9.5</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to </w:t>
      </w:r>
      <w:r w:rsidR="003F6195">
        <w:rPr>
          <w:rFonts w:ascii="Times New Roman" w:eastAsia="標楷體" w:hAnsi="Times New Roman" w:cs="Times New Roman"/>
          <w:szCs w:val="24"/>
        </w:rPr>
        <w:t>seven</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and then </w:t>
      </w:r>
      <w:r w:rsidR="007E5439">
        <w:rPr>
          <w:rFonts w:ascii="Times New Roman" w:eastAsia="標楷體" w:hAnsi="Times New Roman" w:cs="Times New Roman"/>
          <w:szCs w:val="24"/>
        </w:rPr>
        <w:t xml:space="preserve">to </w:t>
      </w:r>
      <w:r w:rsidR="003F6195">
        <w:rPr>
          <w:rFonts w:ascii="Times New Roman" w:eastAsia="標楷體" w:hAnsi="Times New Roman" w:cs="Times New Roman"/>
          <w:szCs w:val="24"/>
        </w:rPr>
        <w:t>five</w:t>
      </w:r>
      <w:r w:rsidR="00787A2A">
        <w:rPr>
          <w:rFonts w:ascii="Times New Roman" w:eastAsia="標楷體" w:hAnsi="Times New Roman" w:cs="Times New Roman"/>
          <w:szCs w:val="24"/>
        </w:rPr>
        <w:t xml:space="preserve"> </w:t>
      </w:r>
      <w:r w:rsidR="00787A2A">
        <w:rPr>
          <w:rFonts w:ascii="Times New Roman" w:eastAsia="標楷體" w:hAnsi="Times New Roman" w:cs="Times New Roman"/>
          <w:szCs w:val="24"/>
        </w:rPr>
        <w:lastRenderedPageBreak/>
        <w:t>percent</w:t>
      </w:r>
      <w:r w:rsidRPr="00885A57">
        <w:rPr>
          <w:rFonts w:ascii="Times New Roman" w:eastAsia="標楷體" w:hAnsi="Times New Roman" w:cs="Times New Roman"/>
          <w:szCs w:val="24"/>
        </w:rPr>
        <w:t xml:space="preserve"> in 1999, 2010, and 2019, respectively. </w:t>
      </w:r>
      <w:r w:rsidR="00823187">
        <w:rPr>
          <w:rFonts w:ascii="Times New Roman" w:eastAsia="標楷體" w:hAnsi="Times New Roman" w:cs="Times New Roman"/>
          <w:szCs w:val="24"/>
        </w:rPr>
        <w:t xml:space="preserve">Regular </w:t>
      </w:r>
      <w:r w:rsidRPr="00885A57">
        <w:rPr>
          <w:rFonts w:ascii="Times New Roman" w:eastAsia="標楷體" w:hAnsi="Times New Roman" w:cs="Times New Roman"/>
          <w:szCs w:val="24"/>
        </w:rPr>
        <w:t xml:space="preserve">schools have teachers who handle special education matters, and each school has established a special education promotion committee. Furthermore, competent education authorities </w:t>
      </w:r>
      <w:r w:rsidR="00117444">
        <w:rPr>
          <w:rFonts w:ascii="Times New Roman" w:eastAsia="標楷體" w:hAnsi="Times New Roman" w:cs="Times New Roman"/>
          <w:szCs w:val="24"/>
        </w:rPr>
        <w:t>at all levels</w:t>
      </w:r>
      <w:r w:rsidRPr="00885A57">
        <w:rPr>
          <w:rFonts w:ascii="Times New Roman" w:eastAsia="標楷體" w:hAnsi="Times New Roman" w:cs="Times New Roman"/>
          <w:szCs w:val="24"/>
        </w:rPr>
        <w:t xml:space="preserve"> have set up special education resource centers to provide special</w:t>
      </w:r>
      <w:r w:rsidR="003F6195">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education professional support for </w:t>
      </w:r>
      <w:r w:rsidR="00823187">
        <w:rPr>
          <w:rFonts w:ascii="Times New Roman" w:eastAsia="標楷體" w:hAnsi="Times New Roman" w:cs="Times New Roman"/>
          <w:szCs w:val="24"/>
        </w:rPr>
        <w:t xml:space="preserve">regular </w:t>
      </w:r>
      <w:r w:rsidRPr="00885A57">
        <w:rPr>
          <w:rFonts w:ascii="Times New Roman" w:eastAsia="標楷體" w:hAnsi="Times New Roman" w:cs="Times New Roman"/>
          <w:szCs w:val="24"/>
        </w:rPr>
        <w:t>schools.</w:t>
      </w:r>
      <w:bookmarkEnd w:id="153"/>
      <w:r w:rsidR="00193ED6" w:rsidRPr="00885A57">
        <w:rPr>
          <w:rStyle w:val="ab"/>
          <w:rFonts w:ascii="Times New Roman" w:eastAsia="標楷體" w:hAnsi="Times New Roman" w:cs="Times New Roman"/>
        </w:rPr>
        <w:footnoteReference w:id="101"/>
      </w:r>
    </w:p>
    <w:p w14:paraId="5D59AFC8" w14:textId="0FFE1EAB" w:rsidR="007D2213" w:rsidRPr="00885A57" w:rsidRDefault="00193ED6" w:rsidP="006F04A1">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Elementary and junior high compulsory education in Taiwan is provided per the </w:t>
      </w:r>
      <w:r w:rsidRPr="002153DE">
        <w:rPr>
          <w:rFonts w:ascii="Times New Roman" w:eastAsia="標楷體" w:hAnsi="Times New Roman" w:cs="Times New Roman"/>
          <w:iCs/>
          <w:szCs w:val="24"/>
        </w:rPr>
        <w:t>Compulsory Education Act</w:t>
      </w:r>
      <w:r w:rsidRPr="00885A57">
        <w:rPr>
          <w:rFonts w:ascii="Times New Roman" w:eastAsia="標楷體" w:hAnsi="Times New Roman" w:cs="Times New Roman"/>
          <w:szCs w:val="24"/>
        </w:rPr>
        <w:t>. The gross enrollment ratios in elementary and junior high schools are roughly 98</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and 99</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respectively, and almost every student finishes school, as the dropout rate is &lt;0.08</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Moreover, the dropout rate among children with disabilities is often lower than that among </w:t>
      </w:r>
      <w:r w:rsidR="00972518" w:rsidRPr="00885A57">
        <w:rPr>
          <w:rFonts w:ascii="Times New Roman" w:eastAsia="標楷體" w:hAnsi="Times New Roman" w:cs="Times New Roman"/>
          <w:szCs w:val="24"/>
        </w:rPr>
        <w:t>nondisabled individuals</w:t>
      </w:r>
      <w:r w:rsidRPr="00885A57">
        <w:rPr>
          <w:rFonts w:ascii="Times New Roman" w:eastAsia="標楷體" w:hAnsi="Times New Roman" w:cs="Times New Roman"/>
          <w:szCs w:val="24"/>
        </w:rPr>
        <w:t xml:space="preserve"> (Table 24.2). However, the dropout rate among </w:t>
      </w:r>
      <w:r w:rsidR="005378F0">
        <w:rPr>
          <w:rFonts w:ascii="Times New Roman" w:eastAsia="標楷體" w:hAnsi="Times New Roman" w:cs="Times New Roman"/>
          <w:szCs w:val="24"/>
        </w:rPr>
        <w:t xml:space="preserve">senior </w:t>
      </w:r>
      <w:r w:rsidRPr="00885A57">
        <w:rPr>
          <w:rFonts w:ascii="Times New Roman" w:eastAsia="標楷體" w:hAnsi="Times New Roman" w:cs="Times New Roman"/>
          <w:szCs w:val="24"/>
        </w:rPr>
        <w:t>high school students with disabilities is approximately 10</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which is considerably higher than that among </w:t>
      </w:r>
      <w:r w:rsidR="00972518" w:rsidRPr="00885A57">
        <w:rPr>
          <w:rFonts w:ascii="Times New Roman" w:eastAsia="標楷體" w:hAnsi="Times New Roman" w:cs="Times New Roman"/>
          <w:szCs w:val="24"/>
        </w:rPr>
        <w:t>nondisabled students</w:t>
      </w:r>
      <w:r w:rsidRPr="00885A57">
        <w:rPr>
          <w:rFonts w:ascii="Times New Roman" w:eastAsia="標楷體" w:hAnsi="Times New Roman" w:cs="Times New Roman"/>
          <w:szCs w:val="24"/>
        </w:rPr>
        <w:t xml:space="preserve"> (Table 24.3). The suspension rate of students with disabilities in higher education institutions is also roughly 10</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a percentage slightly higher than that among </w:t>
      </w:r>
      <w:r w:rsidR="00B13DC0" w:rsidRPr="00885A57">
        <w:rPr>
          <w:rFonts w:ascii="Times New Roman" w:eastAsia="標楷體" w:hAnsi="Times New Roman" w:cs="Times New Roman"/>
          <w:szCs w:val="24"/>
        </w:rPr>
        <w:t>nondisabled students</w:t>
      </w:r>
      <w:r w:rsidRPr="00885A57">
        <w:rPr>
          <w:rFonts w:ascii="Times New Roman" w:eastAsia="標楷體" w:hAnsi="Times New Roman" w:cs="Times New Roman"/>
          <w:szCs w:val="24"/>
        </w:rPr>
        <w:t>. Conversely, the withdrawal rate among students with disabilities in higher education institutions ranges from 2</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to 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which is lower than their </w:t>
      </w:r>
      <w:r w:rsidR="00B13DC0" w:rsidRPr="00885A57">
        <w:rPr>
          <w:rFonts w:ascii="Times New Roman" w:eastAsia="標楷體" w:hAnsi="Times New Roman" w:cs="Times New Roman"/>
          <w:szCs w:val="24"/>
        </w:rPr>
        <w:t xml:space="preserve">nondisabled </w:t>
      </w:r>
      <w:r w:rsidRPr="00885A57">
        <w:rPr>
          <w:rFonts w:ascii="Times New Roman" w:eastAsia="標楷體" w:hAnsi="Times New Roman" w:cs="Times New Roman"/>
          <w:szCs w:val="24"/>
        </w:rPr>
        <w:t>counterparts (Table 24.4). For differences in the dropout (including withdrawal) and suspension rates between male and female students with disabilities, please refer to Article 6</w:t>
      </w:r>
      <w:r w:rsidR="000B761B">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Women with disabilities (Point </w:t>
      </w:r>
      <w:r w:rsidRPr="00885A57">
        <w:rPr>
          <w:rFonts w:ascii="Times New Roman" w:eastAsia="標楷體" w:hAnsi="Times New Roman" w:cs="Times New Roman"/>
          <w:szCs w:val="24"/>
        </w:rPr>
        <w:fldChar w:fldCharType="begin"/>
      </w:r>
      <w:r w:rsidRPr="00885A57">
        <w:rPr>
          <w:rFonts w:ascii="Times New Roman" w:eastAsia="標楷體" w:hAnsi="Times New Roman" w:cs="Times New Roman"/>
          <w:szCs w:val="24"/>
        </w:rPr>
        <w:instrText xml:space="preserve"> REF _Ref46131854 \r \h  \* MERGEFORMAT </w:instrText>
      </w:r>
      <w:r w:rsidRPr="00885A57">
        <w:rPr>
          <w:rFonts w:ascii="Times New Roman" w:eastAsia="標楷體" w:hAnsi="Times New Roman" w:cs="Times New Roman"/>
          <w:szCs w:val="24"/>
        </w:rPr>
      </w:r>
      <w:r w:rsidRPr="00885A57">
        <w:rPr>
          <w:rFonts w:ascii="Times New Roman" w:eastAsia="標楷體" w:hAnsi="Times New Roman" w:cs="Times New Roman"/>
          <w:szCs w:val="24"/>
        </w:rPr>
        <w:fldChar w:fldCharType="separate"/>
      </w:r>
      <w:r w:rsidR="00F00A73">
        <w:rPr>
          <w:rFonts w:ascii="Times New Roman" w:eastAsia="標楷體" w:hAnsi="Times New Roman" w:cs="Times New Roman"/>
          <w:szCs w:val="24"/>
        </w:rPr>
        <w:t>34</w:t>
      </w:r>
      <w:r w:rsidRPr="00885A57">
        <w:rPr>
          <w:rFonts w:ascii="Times New Roman" w:eastAsia="標楷體" w:hAnsi="Times New Roman" w:cs="Times New Roman"/>
          <w:szCs w:val="24"/>
        </w:rPr>
        <w:fldChar w:fldCharType="end"/>
      </w:r>
      <w:r w:rsidRPr="00885A57">
        <w:rPr>
          <w:rFonts w:ascii="Times New Roman" w:eastAsia="標楷體" w:hAnsi="Times New Roman" w:cs="Times New Roman"/>
          <w:szCs w:val="24"/>
        </w:rPr>
        <w:t>).</w:t>
      </w:r>
    </w:p>
    <w:p w14:paraId="3428AE36" w14:textId="31081C7E" w:rsidR="00636FD4" w:rsidRPr="00885A57" w:rsidRDefault="00193ED6"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54" w:name="_Ref55914067"/>
      <w:r w:rsidRPr="00885A57">
        <w:rPr>
          <w:rFonts w:ascii="Times New Roman" w:eastAsia="標楷體" w:hAnsi="Times New Roman" w:cs="Times New Roman"/>
          <w:szCs w:val="24"/>
        </w:rPr>
        <w:lastRenderedPageBreak/>
        <w:t xml:space="preserve">The </w:t>
      </w:r>
      <w:r w:rsidRPr="002153DE">
        <w:rPr>
          <w:rFonts w:ascii="Times New Roman" w:eastAsia="標楷體" w:hAnsi="Times New Roman" w:cs="Times New Roman"/>
          <w:iCs/>
          <w:szCs w:val="24"/>
        </w:rPr>
        <w:t>Curriculum Guidelines of 12-Year Basic Education: General Guidelines</w:t>
      </w:r>
      <w:r w:rsidRPr="00885A57">
        <w:rPr>
          <w:rFonts w:ascii="Times New Roman" w:eastAsia="標楷體" w:hAnsi="Times New Roman" w:cs="Times New Roman"/>
          <w:szCs w:val="24"/>
        </w:rPr>
        <w:t xml:space="preserve"> published by the MOE in 2014 apply to all students and are designed around the fundamental concepts of universal design</w:t>
      </w:r>
      <w:r w:rsidR="000E2727">
        <w:rPr>
          <w:rFonts w:ascii="Times New Roman" w:eastAsia="標楷體" w:hAnsi="Times New Roman" w:cs="Times New Roman"/>
          <w:szCs w:val="24"/>
        </w:rPr>
        <w:t xml:space="preserve"> and reasonable accommodation. The curriculum</w:t>
      </w:r>
      <w:r w:rsidRPr="00885A57">
        <w:rPr>
          <w:rFonts w:ascii="Times New Roman" w:eastAsia="標楷體" w:hAnsi="Times New Roman" w:cs="Times New Roman"/>
          <w:szCs w:val="24"/>
        </w:rPr>
        <w:t xml:space="preserve"> for students with disabilities must be adaptively designed and adjusted according to each student’s IEP; accommodation in their assessment must also be developed. Reasonable accommodation in and universal design of vocational and hands-on courses (e.g., computer operation, cooking, and experiment</w:t>
      </w:r>
      <w:r w:rsidR="000B761B">
        <w:rPr>
          <w:rFonts w:ascii="Times New Roman" w:eastAsia="標楷體" w:hAnsi="Times New Roman" w:cs="Times New Roman"/>
          <w:szCs w:val="24"/>
        </w:rPr>
        <w:t>al</w:t>
      </w:r>
      <w:r w:rsidRPr="00885A57">
        <w:rPr>
          <w:rFonts w:ascii="Times New Roman" w:eastAsia="標楷體" w:hAnsi="Times New Roman" w:cs="Times New Roman"/>
          <w:szCs w:val="24"/>
        </w:rPr>
        <w:t>) for students with disabilities are to be continually promoted in vocational schools; implementation of subsidy programs for these schools is to be accelerated as well. Concerning universal design for lifelong learning, community colleges, under the supervision of local governments, are to incorporate principles of universal design, universal design for learning, and reasonable accommodation into relevant courses.</w:t>
      </w:r>
      <w:bookmarkEnd w:id="154"/>
      <w:r w:rsidRPr="00885A57">
        <w:rPr>
          <w:rStyle w:val="ab"/>
          <w:rFonts w:ascii="Times New Roman" w:eastAsia="標楷體" w:hAnsi="Times New Roman" w:cs="Times New Roman"/>
        </w:rPr>
        <w:footnoteReference w:id="102"/>
      </w:r>
    </w:p>
    <w:p w14:paraId="17B02A15" w14:textId="0C7F24DC" w:rsidR="000D2192" w:rsidRPr="00885A57" w:rsidRDefault="00193ED6" w:rsidP="001A2139">
      <w:pPr>
        <w:spacing w:after="120" w:line="360" w:lineRule="auto"/>
        <w:jc w:val="both"/>
        <w:rPr>
          <w:rFonts w:ascii="Times New Roman" w:eastAsia="標楷體" w:hAnsi="Times New Roman" w:cs="Times New Roman"/>
          <w:szCs w:val="24"/>
        </w:rPr>
      </w:pPr>
      <w:r w:rsidRPr="00885A57">
        <w:rPr>
          <w:rFonts w:ascii="Times New Roman" w:eastAsia="標楷體" w:hAnsi="Times New Roman" w:cs="Times New Roman"/>
        </w:rPr>
        <w:t xml:space="preserve">B.  </w:t>
      </w:r>
      <w:r w:rsidRPr="00885A57">
        <w:rPr>
          <w:rFonts w:ascii="Times New Roman" w:eastAsia="標楷體" w:hAnsi="Times New Roman" w:cs="Times New Roman"/>
          <w:szCs w:val="24"/>
        </w:rPr>
        <w:t>Support for special education</w:t>
      </w:r>
    </w:p>
    <w:p w14:paraId="493062E9" w14:textId="4E84F978" w:rsidR="000D2192" w:rsidRPr="00885A57" w:rsidRDefault="00193ED6"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55" w:name="_Ref39509535"/>
      <w:r w:rsidRPr="00885A57">
        <w:rPr>
          <w:rFonts w:ascii="Times New Roman" w:eastAsia="標楷體" w:hAnsi="Times New Roman" w:cs="Times New Roman"/>
          <w:szCs w:val="24"/>
        </w:rPr>
        <w:t>Support for special education entails behavioral support within the special education system and support from re</w:t>
      </w:r>
      <w:r w:rsidR="00312640">
        <w:rPr>
          <w:rFonts w:ascii="Times New Roman" w:eastAsia="標楷體" w:hAnsi="Times New Roman" w:cs="Times New Roman"/>
          <w:szCs w:val="24"/>
        </w:rPr>
        <w:t xml:space="preserve">levant professional teams. </w:t>
      </w:r>
      <w:r w:rsidR="00312640" w:rsidRPr="00312640">
        <w:rPr>
          <w:rFonts w:ascii="Times New Roman" w:eastAsia="標楷體" w:hAnsi="Times New Roman" w:cs="Times New Roman"/>
          <w:szCs w:val="24"/>
        </w:rPr>
        <w:t xml:space="preserve">To positively prevent special education students with emotional or behavioral challenges from </w:t>
      </w:r>
      <w:r w:rsidR="000B761B">
        <w:rPr>
          <w:rFonts w:ascii="Times New Roman" w:eastAsia="標楷體" w:hAnsi="Times New Roman" w:cs="Times New Roman"/>
          <w:szCs w:val="24"/>
        </w:rPr>
        <w:t xml:space="preserve">having </w:t>
      </w:r>
      <w:r w:rsidR="00312640" w:rsidRPr="00312640">
        <w:rPr>
          <w:rFonts w:ascii="Times New Roman" w:eastAsia="標楷體" w:hAnsi="Times New Roman" w:cs="Times New Roman"/>
          <w:szCs w:val="24"/>
        </w:rPr>
        <w:t xml:space="preserve">difficulties </w:t>
      </w:r>
      <w:r w:rsidR="000B761B">
        <w:rPr>
          <w:rFonts w:ascii="Times New Roman" w:eastAsia="標楷體" w:hAnsi="Times New Roman" w:cs="Times New Roman"/>
          <w:szCs w:val="24"/>
        </w:rPr>
        <w:t xml:space="preserve">with </w:t>
      </w:r>
      <w:r w:rsidR="00312640" w:rsidRPr="00312640">
        <w:rPr>
          <w:rFonts w:ascii="Times New Roman" w:eastAsia="標楷體" w:hAnsi="Times New Roman" w:cs="Times New Roman"/>
          <w:szCs w:val="24"/>
        </w:rPr>
        <w:t xml:space="preserve">social adjustment, </w:t>
      </w:r>
      <w:r w:rsidR="000B761B">
        <w:rPr>
          <w:rFonts w:ascii="Times New Roman" w:eastAsia="標楷體" w:hAnsi="Times New Roman" w:cs="Times New Roman"/>
          <w:szCs w:val="24"/>
        </w:rPr>
        <w:t xml:space="preserve">an </w:t>
      </w:r>
      <w:r w:rsidR="00312640" w:rsidRPr="00312640">
        <w:rPr>
          <w:rFonts w:ascii="Times New Roman" w:eastAsia="標楷體" w:hAnsi="Times New Roman" w:cs="Times New Roman"/>
          <w:szCs w:val="24"/>
        </w:rPr>
        <w:t>emotional and behavioral suppo</w:t>
      </w:r>
      <w:r w:rsidR="00312640">
        <w:rPr>
          <w:rFonts w:ascii="Times New Roman" w:eastAsia="標楷體" w:hAnsi="Times New Roman" w:cs="Times New Roman"/>
          <w:szCs w:val="24"/>
        </w:rPr>
        <w:t>r</w:t>
      </w:r>
      <w:r w:rsidR="00312640" w:rsidRPr="00312640">
        <w:rPr>
          <w:rFonts w:ascii="Times New Roman" w:eastAsia="標楷體" w:hAnsi="Times New Roman" w:cs="Times New Roman"/>
          <w:szCs w:val="24"/>
        </w:rPr>
        <w:t>t team is established.</w:t>
      </w:r>
      <w:r w:rsidRPr="00885A57">
        <w:rPr>
          <w:rFonts w:ascii="Times New Roman" w:eastAsia="標楷體" w:hAnsi="Times New Roman" w:cs="Times New Roman"/>
          <w:szCs w:val="24"/>
        </w:rPr>
        <w:t xml:space="preserve"> Special education teachers receiving professional training in positive behavioral support are appointed as itinerant specialists, who then provide relevant services for schools within the jurisdiction of the competent </w:t>
      </w:r>
      <w:r w:rsidRPr="00885A57">
        <w:rPr>
          <w:rFonts w:ascii="Times New Roman" w:eastAsia="標楷體" w:hAnsi="Times New Roman" w:cs="Times New Roman"/>
          <w:szCs w:val="24"/>
        </w:rPr>
        <w:lastRenderedPageBreak/>
        <w:t>authority concerned. Through collaboration between professionals, schools assist with the assessment, teaching, and counseling of students with disabilities and assign teaching assistants and special education student assistants to assist said students with school learning and daily life (Table 24.5). Most expenses are covered by the MOE, and students with disabilities do not need to pay additional fees. The subsidy amount increased from NT$568 million in 2016 to NT$784 million in 2019. Moreover, relevant professional service centers have been established to provide counseling, guidance, and other professional services.</w:t>
      </w:r>
      <w:bookmarkEnd w:id="155"/>
      <w:r w:rsidRPr="00885A57">
        <w:rPr>
          <w:rStyle w:val="ab"/>
          <w:rFonts w:ascii="Times New Roman" w:eastAsia="標楷體" w:hAnsi="Times New Roman" w:cs="Times New Roman"/>
        </w:rPr>
        <w:footnoteReference w:id="103"/>
      </w:r>
    </w:p>
    <w:p w14:paraId="60220A21" w14:textId="3268560B" w:rsidR="00F23BE0" w:rsidRPr="00885A57" w:rsidRDefault="00193ED6" w:rsidP="006F04A1">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According to the needs of students with disabilities, Taiwan provides educational assistive technologies, </w:t>
      </w:r>
      <w:r w:rsidR="004E63B3" w:rsidRPr="004E63B3">
        <w:rPr>
          <w:rFonts w:ascii="Times New Roman" w:eastAsia="標楷體" w:hAnsi="Times New Roman" w:cs="Times New Roman"/>
          <w:szCs w:val="24"/>
        </w:rPr>
        <w:t>a</w:t>
      </w:r>
      <w:r w:rsidR="004E63B3" w:rsidRPr="004E63B3">
        <w:rPr>
          <w:rFonts w:ascii="Times New Roman" w:eastAsia="標楷體" w:hAnsi="Times New Roman" w:cs="Times New Roman" w:hint="eastAsia"/>
          <w:szCs w:val="24"/>
        </w:rPr>
        <w:t>p</w:t>
      </w:r>
      <w:r w:rsidR="004E63B3" w:rsidRPr="004E63B3">
        <w:rPr>
          <w:rFonts w:ascii="Times New Roman" w:eastAsia="標楷體" w:hAnsi="Times New Roman" w:cs="Times New Roman"/>
          <w:szCs w:val="24"/>
        </w:rPr>
        <w:t xml:space="preserve">propriate </w:t>
      </w:r>
      <w:r w:rsidRPr="00885A57">
        <w:rPr>
          <w:rFonts w:ascii="Times New Roman" w:eastAsia="標楷體" w:hAnsi="Times New Roman" w:cs="Times New Roman"/>
          <w:szCs w:val="24"/>
        </w:rPr>
        <w:t xml:space="preserve">teaching materials (e.g., </w:t>
      </w:r>
      <w:r w:rsidR="000B761B">
        <w:rPr>
          <w:rFonts w:ascii="Times New Roman" w:eastAsia="標楷體" w:hAnsi="Times New Roman" w:cs="Times New Roman"/>
          <w:szCs w:val="24"/>
        </w:rPr>
        <w:t>B</w:t>
      </w:r>
      <w:r w:rsidR="000B761B" w:rsidRPr="00885A57">
        <w:rPr>
          <w:rFonts w:ascii="Times New Roman" w:eastAsia="標楷體" w:hAnsi="Times New Roman" w:cs="Times New Roman"/>
          <w:szCs w:val="24"/>
        </w:rPr>
        <w:t xml:space="preserve">raille </w:t>
      </w:r>
      <w:r w:rsidRPr="00885A57">
        <w:rPr>
          <w:rFonts w:ascii="Times New Roman" w:eastAsia="標楷體" w:hAnsi="Times New Roman" w:cs="Times New Roman"/>
          <w:szCs w:val="24"/>
        </w:rPr>
        <w:t>books, enlarged text</w:t>
      </w:r>
      <w:r w:rsidR="000B761B">
        <w:rPr>
          <w:rFonts w:ascii="Times New Roman" w:eastAsia="標楷體" w:hAnsi="Times New Roman" w:cs="Times New Roman"/>
          <w:szCs w:val="24"/>
        </w:rPr>
        <w:t xml:space="preserve"> books</w:t>
      </w:r>
      <w:r w:rsidRPr="00885A57">
        <w:rPr>
          <w:rFonts w:ascii="Times New Roman" w:eastAsia="標楷體" w:hAnsi="Times New Roman" w:cs="Times New Roman"/>
          <w:szCs w:val="24"/>
        </w:rPr>
        <w:t xml:space="preserve">, and audio textbooks) and scholarships and grants, improves environmental accessibility, and offers tuition reductions or exemptions as well as transportation or transportation subsidies for those who cannot go to school on their own. Additionally, examination services and accommodations are available, including exam papers with enlarged font, </w:t>
      </w:r>
      <w:r w:rsidR="000B761B">
        <w:rPr>
          <w:rFonts w:ascii="Times New Roman" w:eastAsia="標楷體" w:hAnsi="Times New Roman" w:cs="Times New Roman"/>
          <w:szCs w:val="24"/>
        </w:rPr>
        <w:t>B</w:t>
      </w:r>
      <w:r w:rsidR="000B761B" w:rsidRPr="00885A57">
        <w:rPr>
          <w:rFonts w:ascii="Times New Roman" w:eastAsia="標楷體" w:hAnsi="Times New Roman" w:cs="Times New Roman"/>
          <w:szCs w:val="24"/>
        </w:rPr>
        <w:t xml:space="preserve">raille </w:t>
      </w:r>
      <w:r w:rsidRPr="00885A57">
        <w:rPr>
          <w:rFonts w:ascii="Times New Roman" w:eastAsia="標楷體" w:hAnsi="Times New Roman" w:cs="Times New Roman"/>
          <w:szCs w:val="24"/>
        </w:rPr>
        <w:t xml:space="preserve">test papers, </w:t>
      </w:r>
      <w:r w:rsidR="000B761B">
        <w:rPr>
          <w:rFonts w:ascii="Times New Roman" w:eastAsia="標楷體" w:hAnsi="Times New Roman" w:cs="Times New Roman"/>
          <w:szCs w:val="24"/>
        </w:rPr>
        <w:t>B</w:t>
      </w:r>
      <w:r w:rsidR="000B761B" w:rsidRPr="00885A57">
        <w:rPr>
          <w:rFonts w:ascii="Times New Roman" w:eastAsia="標楷體" w:hAnsi="Times New Roman" w:cs="Times New Roman"/>
          <w:szCs w:val="24"/>
        </w:rPr>
        <w:t xml:space="preserve">raille </w:t>
      </w:r>
      <w:r w:rsidRPr="00885A57">
        <w:rPr>
          <w:rFonts w:ascii="Times New Roman" w:eastAsia="標楷體" w:hAnsi="Times New Roman" w:cs="Times New Roman"/>
          <w:szCs w:val="24"/>
        </w:rPr>
        <w:t>computers, audio reading of test items, and exam transcription.</w:t>
      </w:r>
    </w:p>
    <w:p w14:paraId="2BB53814" w14:textId="2947A5EE" w:rsidR="00636FD4" w:rsidRPr="00885A57" w:rsidRDefault="00193ED6"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To help reform schools promote special education, the MOE established the Task Force on Promoting Special Education in Youth Reform Institutions in 2016. The task force aids reform schools in establishing a department specialized in handling special education matters. In doing so, the MOE facilitates IEPs and the provision of </w:t>
      </w:r>
      <w:r w:rsidR="00AB65CD" w:rsidRPr="004E63B3">
        <w:rPr>
          <w:rFonts w:ascii="Times New Roman" w:eastAsia="標楷體" w:hAnsi="Times New Roman" w:cs="Times New Roman"/>
          <w:szCs w:val="24"/>
        </w:rPr>
        <w:t>a</w:t>
      </w:r>
      <w:r w:rsidR="00AB65CD" w:rsidRPr="004E63B3">
        <w:rPr>
          <w:rFonts w:ascii="Times New Roman" w:eastAsia="標楷體" w:hAnsi="Times New Roman" w:cs="Times New Roman" w:hint="eastAsia"/>
          <w:szCs w:val="24"/>
        </w:rPr>
        <w:t>p</w:t>
      </w:r>
      <w:r w:rsidR="00AB65CD" w:rsidRPr="004E63B3">
        <w:rPr>
          <w:rFonts w:ascii="Times New Roman" w:eastAsia="標楷體" w:hAnsi="Times New Roman" w:cs="Times New Roman"/>
          <w:szCs w:val="24"/>
        </w:rPr>
        <w:t xml:space="preserve">propriate </w:t>
      </w:r>
      <w:r w:rsidRPr="00885A57">
        <w:rPr>
          <w:rFonts w:ascii="Times New Roman" w:eastAsia="標楷體" w:hAnsi="Times New Roman" w:cs="Times New Roman"/>
          <w:szCs w:val="24"/>
        </w:rPr>
        <w:t>special education services.</w:t>
      </w:r>
    </w:p>
    <w:p w14:paraId="6235294F" w14:textId="5ABCED15" w:rsidR="00C961F0" w:rsidRPr="00885A57" w:rsidRDefault="00193ED6" w:rsidP="001A2139">
      <w:pPr>
        <w:spacing w:after="120" w:line="360" w:lineRule="auto"/>
        <w:jc w:val="both"/>
        <w:rPr>
          <w:rFonts w:ascii="Times New Roman" w:eastAsia="標楷體" w:hAnsi="Times New Roman" w:cs="Times New Roman"/>
          <w:szCs w:val="24"/>
        </w:rPr>
      </w:pPr>
      <w:r w:rsidRPr="00885A57">
        <w:rPr>
          <w:rFonts w:ascii="Times New Roman" w:eastAsia="標楷體" w:hAnsi="Times New Roman" w:cs="Times New Roman"/>
        </w:rPr>
        <w:lastRenderedPageBreak/>
        <w:t xml:space="preserve">C.  </w:t>
      </w:r>
      <w:r w:rsidR="0025102E" w:rsidRPr="00885A57">
        <w:rPr>
          <w:rFonts w:ascii="Times New Roman" w:eastAsia="標楷體" w:hAnsi="Times New Roman" w:cs="Times New Roman"/>
          <w:szCs w:val="24"/>
        </w:rPr>
        <w:t>Higher education, lifelong learning, and adaptive physical education</w:t>
      </w:r>
    </w:p>
    <w:p w14:paraId="14630572" w14:textId="0A8A0AAF" w:rsidR="00A133B0" w:rsidRPr="00885A57" w:rsidRDefault="00780839" w:rsidP="006F04A1">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In addition to the multiple </w:t>
      </w:r>
      <w:r w:rsidR="00A70F1D">
        <w:rPr>
          <w:rFonts w:ascii="Times New Roman" w:eastAsia="標楷體" w:hAnsi="Times New Roman" w:cs="Times New Roman"/>
          <w:szCs w:val="24"/>
        </w:rPr>
        <w:t xml:space="preserve">admissions </w:t>
      </w:r>
      <w:r w:rsidRPr="00885A57">
        <w:rPr>
          <w:rFonts w:ascii="Times New Roman" w:eastAsia="標楷體" w:hAnsi="Times New Roman" w:cs="Times New Roman"/>
          <w:szCs w:val="24"/>
        </w:rPr>
        <w:t xml:space="preserve">pathways to higher education institution, students with disabilities may </w:t>
      </w:r>
      <w:r w:rsidR="00A70F1D">
        <w:rPr>
          <w:rFonts w:ascii="Times New Roman" w:eastAsia="標楷體" w:hAnsi="Times New Roman" w:cs="Times New Roman"/>
          <w:szCs w:val="24"/>
        </w:rPr>
        <w:t xml:space="preserve">sit for </w:t>
      </w:r>
      <w:r w:rsidRPr="00885A57">
        <w:rPr>
          <w:rFonts w:ascii="Times New Roman" w:eastAsia="標楷體" w:hAnsi="Times New Roman" w:cs="Times New Roman"/>
          <w:szCs w:val="24"/>
        </w:rPr>
        <w:t xml:space="preserve">the annual admission exam that is </w:t>
      </w:r>
      <w:r w:rsidR="00A70F1D">
        <w:rPr>
          <w:rFonts w:ascii="Times New Roman" w:eastAsia="標楷體" w:hAnsi="Times New Roman" w:cs="Times New Roman"/>
          <w:szCs w:val="24"/>
        </w:rPr>
        <w:t xml:space="preserve">held </w:t>
      </w:r>
      <w:r w:rsidRPr="00885A57">
        <w:rPr>
          <w:rFonts w:ascii="Times New Roman" w:eastAsia="標楷體" w:hAnsi="Times New Roman" w:cs="Times New Roman"/>
          <w:szCs w:val="24"/>
        </w:rPr>
        <w:t xml:space="preserve">exclusively for students with disabilities by the MOE. Moreover, the ministry provides benefits for higher education institutions </w:t>
      </w:r>
      <w:r w:rsidR="00A70F1D">
        <w:rPr>
          <w:rFonts w:ascii="Times New Roman" w:eastAsia="標楷體" w:hAnsi="Times New Roman" w:cs="Times New Roman"/>
          <w:szCs w:val="24"/>
        </w:rPr>
        <w:t xml:space="preserve">that </w:t>
      </w:r>
      <w:r w:rsidRPr="00885A57">
        <w:rPr>
          <w:rFonts w:ascii="Times New Roman" w:eastAsia="標楷體" w:hAnsi="Times New Roman" w:cs="Times New Roman"/>
          <w:szCs w:val="24"/>
        </w:rPr>
        <w:t xml:space="preserve">organize exclusive admission exams for </w:t>
      </w:r>
      <w:r w:rsidR="00A70F1D">
        <w:rPr>
          <w:rFonts w:ascii="Times New Roman" w:eastAsia="標楷體" w:hAnsi="Times New Roman" w:cs="Times New Roman"/>
          <w:szCs w:val="24"/>
        </w:rPr>
        <w:t xml:space="preserve">such </w:t>
      </w:r>
      <w:r w:rsidRPr="00885A57">
        <w:rPr>
          <w:rFonts w:ascii="Times New Roman" w:eastAsia="標楷體" w:hAnsi="Times New Roman" w:cs="Times New Roman"/>
          <w:szCs w:val="24"/>
        </w:rPr>
        <w:t xml:space="preserve">students, thereby increasing their chance </w:t>
      </w:r>
      <w:r w:rsidR="00494502">
        <w:rPr>
          <w:rFonts w:ascii="Times New Roman" w:eastAsia="標楷體" w:hAnsi="Times New Roman" w:cs="Times New Roman"/>
          <w:szCs w:val="24"/>
        </w:rPr>
        <w:t xml:space="preserve">of receiving </w:t>
      </w:r>
      <w:r w:rsidRPr="00885A57">
        <w:rPr>
          <w:rFonts w:ascii="Times New Roman" w:eastAsia="標楷體" w:hAnsi="Times New Roman" w:cs="Times New Roman"/>
          <w:szCs w:val="24"/>
        </w:rPr>
        <w:t xml:space="preserve">higher education. To support students’ learning, the MOE requests </w:t>
      </w:r>
      <w:r w:rsidR="003171B3">
        <w:rPr>
          <w:rFonts w:ascii="Times New Roman" w:eastAsia="標楷體" w:hAnsi="Times New Roman" w:cs="Times New Roman"/>
          <w:szCs w:val="24"/>
        </w:rPr>
        <w:t xml:space="preserve">that </w:t>
      </w:r>
      <w:r w:rsidRPr="00885A57">
        <w:rPr>
          <w:rFonts w:ascii="Times New Roman" w:eastAsia="標楷體" w:hAnsi="Times New Roman" w:cs="Times New Roman"/>
          <w:szCs w:val="24"/>
        </w:rPr>
        <w:t xml:space="preserve">higher education institutions establish specialized departments and personnel and subsidizes counselors, tutoring programs, assistants for students with disabilities, teaching supplies, and student counseling activities. Taiwan subsidizes these institutions </w:t>
      </w:r>
      <w:r w:rsidR="00A70F1D">
        <w:rPr>
          <w:rFonts w:ascii="Times New Roman" w:eastAsia="標楷體" w:hAnsi="Times New Roman" w:cs="Times New Roman"/>
          <w:szCs w:val="24"/>
        </w:rPr>
        <w:t xml:space="preserve">with </w:t>
      </w:r>
      <w:r w:rsidRPr="00885A57">
        <w:rPr>
          <w:rFonts w:ascii="Times New Roman" w:eastAsia="標楷體" w:hAnsi="Times New Roman" w:cs="Times New Roman"/>
          <w:szCs w:val="24"/>
        </w:rPr>
        <w:t>NT$400</w:t>
      </w:r>
      <w:r w:rsidR="003171B3">
        <w:rPr>
          <w:rFonts w:ascii="Times New Roman" w:eastAsia="標楷體" w:hAnsi="Times New Roman" w:cs="Times New Roman"/>
          <w:szCs w:val="24"/>
        </w:rPr>
        <w:t>-</w:t>
      </w:r>
      <w:r w:rsidRPr="00885A57">
        <w:rPr>
          <w:rFonts w:ascii="Times New Roman" w:eastAsia="標楷體" w:hAnsi="Times New Roman" w:cs="Times New Roman"/>
          <w:szCs w:val="24"/>
        </w:rPr>
        <w:t>NT$500 million per year, benefiting more than 10,000 students with disabilities (Table 24.6).</w:t>
      </w:r>
    </w:p>
    <w:p w14:paraId="3C0BC45E" w14:textId="5EB364A9" w:rsidR="00A133B0" w:rsidRPr="00885A57" w:rsidRDefault="00780839" w:rsidP="00D45A46">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The </w:t>
      </w:r>
      <w:r w:rsidRPr="002153DE">
        <w:rPr>
          <w:rFonts w:ascii="Times New Roman" w:eastAsia="標楷體" w:hAnsi="Times New Roman" w:cs="Times New Roman"/>
          <w:iCs/>
          <w:szCs w:val="24"/>
        </w:rPr>
        <w:t>University Act</w:t>
      </w:r>
      <w:r w:rsidRPr="00885A57">
        <w:rPr>
          <w:rFonts w:ascii="Times New Roman" w:eastAsia="標楷體" w:hAnsi="Times New Roman" w:cs="Times New Roman"/>
          <w:szCs w:val="24"/>
        </w:rPr>
        <w:t xml:space="preserve"> specifies that students with disabilities </w:t>
      </w:r>
      <w:r w:rsidR="003171B3">
        <w:rPr>
          <w:rFonts w:ascii="Times New Roman" w:eastAsia="標楷體" w:hAnsi="Times New Roman" w:cs="Times New Roman"/>
          <w:szCs w:val="24"/>
        </w:rPr>
        <w:t>enrolled in</w:t>
      </w:r>
      <w:r w:rsidR="003171B3"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a bachelor’s degree program may extend their study by up to four years as an accommodation for their physical or mental conditions and their learning needs, and regulations pertaining to mandatory withdrawal due to unsatisfactory academic performance are not applicable to these students. The MOE launched </w:t>
      </w:r>
      <w:r w:rsidR="00501DF7">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Support Service Mechanism of Special Education for Adults with Disabilities </w:t>
      </w:r>
      <w:r w:rsidR="00501DF7">
        <w:rPr>
          <w:rFonts w:ascii="Times New Roman" w:eastAsia="標楷體" w:hAnsi="Times New Roman" w:cs="Times New Roman"/>
          <w:szCs w:val="24"/>
        </w:rPr>
        <w:t xml:space="preserve">program </w:t>
      </w:r>
      <w:r w:rsidRPr="00885A57">
        <w:rPr>
          <w:rFonts w:ascii="Times New Roman" w:eastAsia="標楷體" w:hAnsi="Times New Roman" w:cs="Times New Roman"/>
          <w:szCs w:val="24"/>
        </w:rPr>
        <w:t xml:space="preserve">(implemented between July 2018 and August 2019) to collect </w:t>
      </w:r>
      <w:r w:rsidR="00501DF7">
        <w:rPr>
          <w:rFonts w:ascii="Times New Roman" w:eastAsia="標楷體" w:hAnsi="Times New Roman" w:cs="Times New Roman"/>
          <w:szCs w:val="24"/>
        </w:rPr>
        <w:t xml:space="preserve">local </w:t>
      </w:r>
      <w:r w:rsidRPr="00885A57">
        <w:rPr>
          <w:rFonts w:ascii="Times New Roman" w:eastAsia="標楷體" w:hAnsi="Times New Roman" w:cs="Times New Roman"/>
          <w:szCs w:val="24"/>
        </w:rPr>
        <w:t xml:space="preserve">and foreign literature on policies, theories, and practices of special education for adults with disabilities. The collected data and results of questionnaire surveys and focus group interviews enable the government to understand the supply and demand of special education for adults with disabilities, serving as a reference </w:t>
      </w:r>
      <w:r w:rsidRPr="00885A57">
        <w:rPr>
          <w:rFonts w:ascii="Times New Roman" w:eastAsia="標楷體" w:hAnsi="Times New Roman" w:cs="Times New Roman"/>
          <w:szCs w:val="24"/>
        </w:rPr>
        <w:lastRenderedPageBreak/>
        <w:t xml:space="preserve">for future amendments to the </w:t>
      </w:r>
      <w:r w:rsidRPr="002153DE">
        <w:rPr>
          <w:rFonts w:ascii="Times New Roman" w:eastAsia="標楷體" w:hAnsi="Times New Roman" w:cs="Times New Roman"/>
          <w:iCs/>
          <w:szCs w:val="24"/>
        </w:rPr>
        <w:t>Implementation Regulations Governing Adult Education and Li</w:t>
      </w:r>
      <w:r w:rsidR="00A15937" w:rsidRPr="002153DE">
        <w:rPr>
          <w:rFonts w:ascii="Times New Roman" w:eastAsia="標楷體" w:hAnsi="Times New Roman" w:cs="Times New Roman"/>
          <w:iCs/>
          <w:szCs w:val="24"/>
        </w:rPr>
        <w:t xml:space="preserve">felong Learning Activities for </w:t>
      </w:r>
      <w:r w:rsidRPr="002153DE">
        <w:rPr>
          <w:rFonts w:ascii="Times New Roman" w:eastAsia="標楷體" w:hAnsi="Times New Roman" w:cs="Times New Roman"/>
          <w:iCs/>
          <w:szCs w:val="24"/>
        </w:rPr>
        <w:t>People with Disabilities</w:t>
      </w:r>
      <w:r w:rsidRPr="00885A57">
        <w:rPr>
          <w:rFonts w:ascii="Times New Roman" w:eastAsia="標楷體" w:hAnsi="Times New Roman" w:cs="Times New Roman"/>
          <w:szCs w:val="24"/>
        </w:rPr>
        <w:t xml:space="preserve"> as well as the development of education for adults with disabilities.</w:t>
      </w:r>
    </w:p>
    <w:p w14:paraId="0183B3D3" w14:textId="491C645B" w:rsidR="00CA0DAB" w:rsidRPr="00885A57" w:rsidRDefault="00780839" w:rsidP="006F04A1">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develop suitable physical education activities for people with disabilities, the MOE has organized workshops on </w:t>
      </w:r>
      <w:r w:rsidR="00A15937" w:rsidRPr="00885A57">
        <w:rPr>
          <w:rFonts w:ascii="Times New Roman" w:eastAsia="標楷體" w:hAnsi="Times New Roman" w:cs="Times New Roman"/>
          <w:szCs w:val="24"/>
        </w:rPr>
        <w:t>adaptive</w:t>
      </w:r>
      <w:r w:rsidRPr="00885A57">
        <w:rPr>
          <w:rFonts w:ascii="Times New Roman" w:eastAsia="標楷體" w:hAnsi="Times New Roman" w:cs="Times New Roman"/>
          <w:szCs w:val="24"/>
        </w:rPr>
        <w:t xml:space="preserve"> physical education for teachers (including special education teachers) since 2017. The ministry annually subsidizes groups that host the National Middle School President Cup Tournament for Students with Disabilities and the Fitness Boot Camp for Students with Disabilities. These events attracted 800 participants in 2019.</w:t>
      </w:r>
    </w:p>
    <w:p w14:paraId="195D50EC" w14:textId="429DBB8C" w:rsidR="008F4C0B" w:rsidRPr="00885A57" w:rsidRDefault="00CA6001" w:rsidP="006F04A1">
      <w:pPr>
        <w:pStyle w:val="10"/>
        <w:spacing w:after="120" w:line="360" w:lineRule="auto"/>
        <w:rPr>
          <w:rFonts w:ascii="Times New Roman" w:hAnsi="Times New Roman"/>
        </w:rPr>
      </w:pPr>
      <w:bookmarkStart w:id="156" w:name="_Toc73108694"/>
      <w:r w:rsidRPr="00885A57">
        <w:rPr>
          <w:rFonts w:ascii="Times New Roman" w:hAnsi="Times New Roman"/>
        </w:rPr>
        <w:t>Article 25</w:t>
      </w:r>
      <w:bookmarkStart w:id="157" w:name="_Toc55900606"/>
      <w:r w:rsidR="00B645D5" w:rsidRPr="00885A57">
        <w:rPr>
          <w:rFonts w:ascii="Times New Roman" w:hAnsi="Times New Roman"/>
        </w:rPr>
        <w:t xml:space="preserve">: </w:t>
      </w:r>
      <w:r w:rsidRPr="00885A57">
        <w:rPr>
          <w:rFonts w:ascii="Times New Roman" w:hAnsi="Times New Roman"/>
        </w:rPr>
        <w:t>Health</w:t>
      </w:r>
      <w:bookmarkEnd w:id="156"/>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bookmarkEnd w:id="157"/>
    </w:p>
    <w:p w14:paraId="2BF6236C" w14:textId="2B8AA78D" w:rsidR="008F4C0B" w:rsidRPr="00885A57" w:rsidRDefault="00780839" w:rsidP="001A2139">
      <w:pPr>
        <w:spacing w:after="120" w:line="360" w:lineRule="auto"/>
        <w:rPr>
          <w:rFonts w:ascii="Times New Roman" w:eastAsia="標楷體" w:hAnsi="Times New Roman" w:cs="Times New Roman"/>
          <w:szCs w:val="28"/>
        </w:rPr>
      </w:pPr>
      <w:r w:rsidRPr="00885A57">
        <w:rPr>
          <w:rFonts w:ascii="Times New Roman" w:eastAsia="標楷體" w:hAnsi="Times New Roman" w:cs="Times New Roman"/>
          <w:szCs w:val="24"/>
        </w:rPr>
        <w:t>A.  Protection of the right to basic health</w:t>
      </w:r>
    </w:p>
    <w:p w14:paraId="1B00B20D" w14:textId="7C3956C8" w:rsidR="000A1886" w:rsidRPr="00885A57" w:rsidRDefault="00780839" w:rsidP="006F04A1">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As described in Point 189 of the Initial State Report, Taiwan launched </w:t>
      </w:r>
      <w:r w:rsidR="00B64E49">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NHI in 1995 and has protected every citizen’s right to health care through mutual aid and compulsory insurance. Rehabilitation and mental health treatment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as deemed necessary by a medical professional, are covered by the NHI program. Therefore, people can receive appropriate health care services regardless of their financial condition or disabilities.</w:t>
      </w:r>
    </w:p>
    <w:p w14:paraId="20EAF72C" w14:textId="45681C94" w:rsidR="004D1B89" w:rsidRPr="00885A57" w:rsidRDefault="00780839" w:rsidP="006F04A1">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ensure the provision of health care services </w:t>
      </w:r>
      <w:r w:rsidR="00A70F1D">
        <w:rPr>
          <w:rFonts w:ascii="Times New Roman" w:eastAsia="標楷體" w:hAnsi="Times New Roman" w:cs="Times New Roman"/>
          <w:szCs w:val="24"/>
        </w:rPr>
        <w:t>to</w:t>
      </w:r>
      <w:r w:rsidR="00A70F1D" w:rsidRPr="00885A57">
        <w:rPr>
          <w:rFonts w:ascii="Times New Roman" w:eastAsia="標楷體" w:hAnsi="Times New Roman" w:cs="Times New Roman"/>
          <w:szCs w:val="24"/>
        </w:rPr>
        <w:t xml:space="preserve">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the PDRPA has an independent chapter on the right to health and medical care. This chapter stipulates that the central government shall plan and integrate medi</w:t>
      </w:r>
      <w:r w:rsidR="00DB3DF6">
        <w:rPr>
          <w:rFonts w:ascii="Times New Roman" w:eastAsia="標楷體" w:hAnsi="Times New Roman" w:cs="Times New Roman"/>
          <w:szCs w:val="24"/>
        </w:rPr>
        <w:t>cal resources to provide people</w:t>
      </w:r>
      <w:r w:rsidR="00730DD6">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with disabilities with appropriate services concerning health maintenance and reproductive health as per their individual </w:t>
      </w:r>
      <w:r w:rsidRPr="00885A57">
        <w:rPr>
          <w:rFonts w:ascii="Times New Roman" w:eastAsia="標楷體" w:hAnsi="Times New Roman" w:cs="Times New Roman"/>
          <w:szCs w:val="24"/>
        </w:rPr>
        <w:lastRenderedPageBreak/>
        <w:t xml:space="preserve">needs. Hospitals shall set up service entries and discharge planning programs for people with disabilities. Local governments shall, according to the number </w:t>
      </w:r>
      <w:r w:rsidR="00B64E49">
        <w:rPr>
          <w:rFonts w:ascii="Times New Roman" w:eastAsia="標楷體" w:hAnsi="Times New Roman" w:cs="Times New Roman"/>
          <w:szCs w:val="24"/>
        </w:rPr>
        <w:t xml:space="preserve">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w:t>
      </w:r>
      <w:r w:rsidR="00A70F1D">
        <w:rPr>
          <w:rFonts w:ascii="Times New Roman" w:eastAsia="標楷體" w:hAnsi="Times New Roman" w:cs="Times New Roman"/>
          <w:szCs w:val="24"/>
        </w:rPr>
        <w:t>within</w:t>
      </w:r>
      <w:r w:rsidR="00B64E49" w:rsidRPr="00885A57">
        <w:rPr>
          <w:rFonts w:ascii="Times New Roman" w:eastAsia="標楷體" w:hAnsi="Times New Roman" w:cs="Times New Roman"/>
          <w:szCs w:val="24"/>
        </w:rPr>
        <w:t xml:space="preserve"> their jurisdiction </w:t>
      </w:r>
      <w:r w:rsidRPr="00885A57">
        <w:rPr>
          <w:rFonts w:ascii="Times New Roman" w:eastAsia="標楷體" w:hAnsi="Times New Roman" w:cs="Times New Roman"/>
          <w:szCs w:val="24"/>
        </w:rPr>
        <w:t xml:space="preserve">and </w:t>
      </w:r>
      <w:r w:rsidR="00A70F1D">
        <w:rPr>
          <w:rFonts w:ascii="Times New Roman" w:eastAsia="標楷體" w:hAnsi="Times New Roman" w:cs="Times New Roman"/>
          <w:szCs w:val="24"/>
        </w:rPr>
        <w:t>these individuals’</w:t>
      </w:r>
      <w:r w:rsidR="00B64E49">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medical requirements, establish specialized outpatient clinics and establish or encourage the establishment of rehabilitation centers and nursing homes to provide such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medical care, rehabilitation, assistive </w:t>
      </w:r>
      <w:r w:rsidR="00B64E49">
        <w:rPr>
          <w:rFonts w:ascii="Times New Roman" w:eastAsia="標楷體" w:hAnsi="Times New Roman" w:cs="Times New Roman"/>
          <w:szCs w:val="24"/>
        </w:rPr>
        <w:t xml:space="preserve">technology </w:t>
      </w:r>
      <w:r w:rsidRPr="00885A57">
        <w:rPr>
          <w:rFonts w:ascii="Times New Roman" w:eastAsia="標楷體" w:hAnsi="Times New Roman" w:cs="Times New Roman"/>
          <w:szCs w:val="24"/>
        </w:rPr>
        <w:t>services, day care</w:t>
      </w:r>
      <w:r w:rsidR="00B64E49">
        <w:rPr>
          <w:rFonts w:ascii="Times New Roman" w:eastAsia="標楷體" w:hAnsi="Times New Roman" w:cs="Times New Roman"/>
          <w:szCs w:val="24"/>
        </w:rPr>
        <w:t>,</w:t>
      </w:r>
      <w:r w:rsidRPr="00885A57">
        <w:rPr>
          <w:rFonts w:ascii="Times New Roman" w:eastAsia="標楷體" w:hAnsi="Times New Roman" w:cs="Times New Roman"/>
          <w:szCs w:val="24"/>
        </w:rPr>
        <w:t xml:space="preserve"> and home care, thereby ensuring their access to health care.</w:t>
      </w:r>
    </w:p>
    <w:p w14:paraId="69CA4B13" w14:textId="39B4F8B0" w:rsidR="00D958C4" w:rsidRPr="00885A57" w:rsidRDefault="00780839" w:rsidP="006F04A1">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微軟正黑體" w:hAnsi="Times New Roman" w:cs="Times New Roman"/>
          <w:szCs w:val="24"/>
        </w:rPr>
        <w:t xml:space="preserve">The government evaluates the most common health concerns among </w:t>
      </w:r>
      <w:r w:rsidR="00B64E49">
        <w:rPr>
          <w:rFonts w:ascii="Times New Roman" w:eastAsia="微軟正黑體" w:hAnsi="Times New Roman" w:cs="Times New Roman"/>
          <w:szCs w:val="24"/>
        </w:rPr>
        <w:t xml:space="preserve">citizens </w:t>
      </w:r>
      <w:r w:rsidRPr="00885A57">
        <w:rPr>
          <w:rFonts w:ascii="Times New Roman" w:eastAsia="微軟正黑體" w:hAnsi="Times New Roman" w:cs="Times New Roman"/>
          <w:szCs w:val="24"/>
        </w:rPr>
        <w:t>(i.e., blood pressure, blood sugar, blood lipids, kidney function, liver function, and body weight) and provides relevant health consultation services. The government provides free preventive health care service for citizens aged 40</w:t>
      </w:r>
      <w:r w:rsidR="00A70F1D">
        <w:rPr>
          <w:rFonts w:ascii="Times New Roman" w:eastAsia="微軟正黑體" w:hAnsi="Times New Roman" w:cs="Times New Roman"/>
          <w:szCs w:val="24"/>
        </w:rPr>
        <w:t>-</w:t>
      </w:r>
      <w:r w:rsidRPr="00885A57">
        <w:rPr>
          <w:rFonts w:ascii="Times New Roman" w:eastAsia="微軟正黑體" w:hAnsi="Times New Roman" w:cs="Times New Roman"/>
          <w:szCs w:val="24"/>
        </w:rPr>
        <w:t xml:space="preserve">64 years and those aged 65 years or older once </w:t>
      </w:r>
      <w:r w:rsidR="00B64E49">
        <w:rPr>
          <w:rFonts w:ascii="Times New Roman" w:eastAsia="微軟正黑體" w:hAnsi="Times New Roman" w:cs="Times New Roman"/>
          <w:szCs w:val="24"/>
        </w:rPr>
        <w:t xml:space="preserve">every </w:t>
      </w:r>
      <w:r w:rsidRPr="00885A57">
        <w:rPr>
          <w:rFonts w:ascii="Times New Roman" w:eastAsia="微軟正黑體" w:hAnsi="Times New Roman" w:cs="Times New Roman"/>
          <w:szCs w:val="24"/>
        </w:rPr>
        <w:t>three years and once per year, respectively. Patients with poliomyelitis are offered free service</w:t>
      </w:r>
      <w:r w:rsidR="00B64E49">
        <w:rPr>
          <w:rFonts w:ascii="Times New Roman" w:eastAsia="微軟正黑體" w:hAnsi="Times New Roman" w:cs="Times New Roman"/>
          <w:szCs w:val="24"/>
        </w:rPr>
        <w:t>s</w:t>
      </w:r>
      <w:r w:rsidRPr="00885A57">
        <w:rPr>
          <w:rFonts w:ascii="Times New Roman" w:eastAsia="微軟正黑體" w:hAnsi="Times New Roman" w:cs="Times New Roman"/>
          <w:szCs w:val="24"/>
        </w:rPr>
        <w:t xml:space="preserve"> once per year from the age of 35 years</w:t>
      </w:r>
      <w:r w:rsidR="00B64E49">
        <w:rPr>
          <w:rFonts w:ascii="Times New Roman" w:eastAsia="微軟正黑體" w:hAnsi="Times New Roman" w:cs="Times New Roman"/>
          <w:szCs w:val="24"/>
        </w:rPr>
        <w:t xml:space="preserve"> onward</w:t>
      </w:r>
      <w:r w:rsidRPr="00885A57">
        <w:rPr>
          <w:rFonts w:ascii="Times New Roman" w:eastAsia="微軟正黑體" w:hAnsi="Times New Roman" w:cs="Times New Roman"/>
          <w:szCs w:val="24"/>
        </w:rPr>
        <w:t>. In 2018, the government provided such service</w:t>
      </w:r>
      <w:r w:rsidR="00B64E49">
        <w:rPr>
          <w:rFonts w:ascii="Times New Roman" w:eastAsia="微軟正黑體" w:hAnsi="Times New Roman" w:cs="Times New Roman"/>
          <w:szCs w:val="24"/>
        </w:rPr>
        <w:t>s</w:t>
      </w:r>
      <w:r w:rsidRPr="00885A57">
        <w:rPr>
          <w:rFonts w:ascii="Times New Roman" w:eastAsia="微軟正黑體" w:hAnsi="Times New Roman" w:cs="Times New Roman"/>
          <w:szCs w:val="24"/>
        </w:rPr>
        <w:t xml:space="preserve"> </w:t>
      </w:r>
      <w:r w:rsidR="00B64E49">
        <w:rPr>
          <w:rFonts w:ascii="Times New Roman" w:eastAsia="微軟正黑體" w:hAnsi="Times New Roman" w:cs="Times New Roman"/>
          <w:szCs w:val="24"/>
        </w:rPr>
        <w:t xml:space="preserve">to </w:t>
      </w:r>
      <w:r w:rsidRPr="00885A57">
        <w:rPr>
          <w:rFonts w:ascii="Times New Roman" w:eastAsia="微軟正黑體" w:hAnsi="Times New Roman" w:cs="Times New Roman"/>
          <w:szCs w:val="24"/>
        </w:rPr>
        <w:t xml:space="preserve">more than 1.9 million people, among whom more than 150,000 were physically or mentally challenged. This preventive health care service for adults is only one of numerous health check options. According to the 2016 </w:t>
      </w:r>
      <w:r w:rsidR="00F26F2D" w:rsidRPr="00885A57">
        <w:rPr>
          <w:rFonts w:ascii="Times New Roman" w:eastAsia="標楷體" w:hAnsi="Times New Roman" w:cs="Times New Roman"/>
          <w:szCs w:val="24"/>
        </w:rPr>
        <w:t>Disabled People’s Living Condition and Demand Survey</w:t>
      </w:r>
      <w:r w:rsidRPr="00885A57">
        <w:rPr>
          <w:rFonts w:ascii="Times New Roman" w:eastAsia="微軟正黑體" w:hAnsi="Times New Roman" w:cs="Times New Roman"/>
          <w:szCs w:val="24"/>
        </w:rPr>
        <w:t xml:space="preserve"> conducted by the MOHW, the percentage of </w:t>
      </w:r>
      <w:r w:rsidRPr="00885A57">
        <w:rPr>
          <w:rFonts w:ascii="Times New Roman" w:eastAsia="標楷體" w:hAnsi="Times New Roman" w:cs="Times New Roman"/>
          <w:kern w:val="0"/>
          <w:szCs w:val="24"/>
        </w:rPr>
        <w:t>people</w:t>
      </w:r>
      <w:r w:rsidRPr="00885A57">
        <w:rPr>
          <w:rFonts w:ascii="Times New Roman" w:eastAsia="微軟正黑體" w:hAnsi="Times New Roman" w:cs="Times New Roman"/>
          <w:szCs w:val="24"/>
        </w:rPr>
        <w:t xml:space="preserve"> with disabilities who had received a health check was 43.3</w:t>
      </w:r>
      <w:r w:rsidR="00787A2A">
        <w:rPr>
          <w:rFonts w:ascii="Times New Roman" w:eastAsia="微軟正黑體" w:hAnsi="Times New Roman" w:cs="Times New Roman"/>
          <w:szCs w:val="24"/>
        </w:rPr>
        <w:t xml:space="preserve"> percent</w:t>
      </w:r>
      <w:r w:rsidRPr="00885A57">
        <w:rPr>
          <w:rFonts w:ascii="Times New Roman" w:eastAsia="微軟正黑體" w:hAnsi="Times New Roman" w:cs="Times New Roman"/>
          <w:szCs w:val="24"/>
        </w:rPr>
        <w:t xml:space="preserve"> (year-over-year data not yet available). The MOHW conducted the National Health Interview Survey in 2017, which revealed that the percentage of people aged 40 years or older who claimed to have used any </w:t>
      </w:r>
      <w:r w:rsidR="00B64E49">
        <w:rPr>
          <w:rFonts w:ascii="Times New Roman" w:eastAsia="微軟正黑體" w:hAnsi="Times New Roman" w:cs="Times New Roman"/>
          <w:szCs w:val="24"/>
        </w:rPr>
        <w:t xml:space="preserve">of the </w:t>
      </w:r>
      <w:r w:rsidRPr="00885A57">
        <w:rPr>
          <w:rFonts w:ascii="Times New Roman" w:eastAsia="微軟正黑體" w:hAnsi="Times New Roman" w:cs="Times New Roman"/>
          <w:szCs w:val="24"/>
        </w:rPr>
        <w:t>health check options was 60.2</w:t>
      </w:r>
      <w:r w:rsidR="00787A2A">
        <w:rPr>
          <w:rFonts w:ascii="Times New Roman" w:eastAsia="微軟正黑體" w:hAnsi="Times New Roman" w:cs="Times New Roman"/>
          <w:szCs w:val="24"/>
        </w:rPr>
        <w:t xml:space="preserve"> percent</w:t>
      </w:r>
      <w:r w:rsidRPr="00885A57">
        <w:rPr>
          <w:rFonts w:ascii="Times New Roman" w:eastAsia="微軟正黑體" w:hAnsi="Times New Roman" w:cs="Times New Roman"/>
          <w:szCs w:val="24"/>
        </w:rPr>
        <w:t>.</w:t>
      </w:r>
    </w:p>
    <w:p w14:paraId="245A023B" w14:textId="3C36E8D7" w:rsidR="008879DE" w:rsidRPr="00885A57" w:rsidRDefault="00780839"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lastRenderedPageBreak/>
        <w:t>The government has promoted the Pilot Project</w:t>
      </w:r>
      <w:r w:rsidR="007C2540">
        <w:rPr>
          <w:rFonts w:ascii="Times New Roman" w:eastAsia="標楷體" w:hAnsi="Times New Roman" w:cs="Times New Roman"/>
          <w:szCs w:val="24"/>
        </w:rPr>
        <w:t xml:space="preserve"> for Dental Specialized Health C</w:t>
      </w:r>
      <w:r w:rsidRPr="00885A57">
        <w:rPr>
          <w:rFonts w:ascii="Times New Roman" w:eastAsia="標楷體" w:hAnsi="Times New Roman" w:cs="Times New Roman"/>
          <w:szCs w:val="24"/>
        </w:rPr>
        <w:t xml:space="preserve">are Services since 2002 and expanded the project in 2014 </w:t>
      </w:r>
      <w:r w:rsidR="00A70F1D">
        <w:rPr>
          <w:rFonts w:ascii="Times New Roman" w:eastAsia="標楷體" w:hAnsi="Times New Roman" w:cs="Times New Roman"/>
          <w:szCs w:val="24"/>
        </w:rPr>
        <w:t>under the name</w:t>
      </w:r>
      <w:r w:rsidRPr="00885A57">
        <w:rPr>
          <w:rFonts w:ascii="Times New Roman" w:eastAsia="標楷體" w:hAnsi="Times New Roman" w:cs="Times New Roman"/>
          <w:szCs w:val="24"/>
        </w:rPr>
        <w:t xml:space="preserve"> Oral Integrated Care Initiative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and Special Needs. In 2020, the project rewarded 30 hospitals for setting up special dental clinics for people with disabilities (i.e., seven medical centers and 23 general hospitals). Moreover, the government has cooperated with more than 150 dental clinics, established regional dental health care networks, and assisted clinics with patient referral and physician supply, thereby expanding dental services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Local health administrations have appointed 178 medical institutions to provide special outpatient services for </w:t>
      </w:r>
      <w:r w:rsidR="00A23BD0">
        <w:rPr>
          <w:rFonts w:ascii="Times New Roman" w:eastAsia="標楷體" w:hAnsi="Times New Roman" w:cs="Times New Roman"/>
          <w:szCs w:val="24"/>
        </w:rPr>
        <w:t xml:space="preserve">these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serving 1,461 clinics per week. The list of medical institutions is available on the websites of the MOHW and local health administrations. In 2013, the government loosened regulation</w:t>
      </w:r>
      <w:r w:rsidR="00A70F1D">
        <w:rPr>
          <w:rFonts w:ascii="Times New Roman" w:eastAsia="標楷體" w:hAnsi="Times New Roman" w:cs="Times New Roman"/>
          <w:szCs w:val="24"/>
        </w:rPr>
        <w:t>s</w:t>
      </w:r>
      <w:r w:rsidRPr="00885A57">
        <w:rPr>
          <w:rFonts w:ascii="Times New Roman" w:eastAsia="標楷體" w:hAnsi="Times New Roman" w:cs="Times New Roman"/>
          <w:szCs w:val="24"/>
        </w:rPr>
        <w:t xml:space="preserve"> on subsidizing </w:t>
      </w:r>
      <w:r w:rsidR="00A70F1D">
        <w:rPr>
          <w:rFonts w:ascii="Times New Roman" w:eastAsia="標楷體" w:hAnsi="Times New Roman" w:cs="Times New Roman"/>
          <w:szCs w:val="24"/>
        </w:rPr>
        <w:t xml:space="preserve">fluoride treatment for </w:t>
      </w:r>
      <w:r w:rsidRPr="00885A57">
        <w:rPr>
          <w:rFonts w:ascii="Times New Roman" w:eastAsia="標楷體" w:hAnsi="Times New Roman" w:cs="Times New Roman"/>
          <w:szCs w:val="24"/>
        </w:rPr>
        <w:t xml:space="preserve">children </w:t>
      </w:r>
      <w:r w:rsidR="00A70F1D">
        <w:rPr>
          <w:rFonts w:ascii="Times New Roman" w:eastAsia="標楷體" w:hAnsi="Times New Roman" w:cs="Times New Roman"/>
          <w:szCs w:val="24"/>
        </w:rPr>
        <w:t xml:space="preserve">(under </w:t>
      </w:r>
      <w:r w:rsidRPr="00885A57">
        <w:rPr>
          <w:rFonts w:ascii="Times New Roman" w:eastAsia="標楷體" w:hAnsi="Times New Roman" w:cs="Times New Roman"/>
          <w:szCs w:val="24"/>
        </w:rPr>
        <w:t>12 years of age</w:t>
      </w:r>
      <w:r w:rsidR="00A70F1D">
        <w:rPr>
          <w:rFonts w:ascii="Times New Roman" w:eastAsia="標楷體" w:hAnsi="Times New Roman" w:cs="Times New Roman"/>
          <w:szCs w:val="24"/>
        </w:rPr>
        <w:t>)</w:t>
      </w:r>
      <w:r w:rsidRPr="00885A57">
        <w:rPr>
          <w:rFonts w:ascii="Times New Roman" w:eastAsia="標楷體" w:hAnsi="Times New Roman" w:cs="Times New Roman"/>
          <w:szCs w:val="24"/>
        </w:rPr>
        <w:t>, shortening the interval between fluoride treatments from six months to three months.</w:t>
      </w:r>
    </w:p>
    <w:p w14:paraId="2C144AE8" w14:textId="5DF272B6" w:rsidR="003C117C" w:rsidRPr="00885A57" w:rsidRDefault="00780839" w:rsidP="001A2139">
      <w:pPr>
        <w:spacing w:after="120" w:line="360" w:lineRule="auto"/>
        <w:rPr>
          <w:rFonts w:ascii="Times New Roman" w:eastAsia="標楷體" w:hAnsi="Times New Roman" w:cs="Times New Roman"/>
          <w:szCs w:val="28"/>
        </w:rPr>
      </w:pPr>
      <w:r w:rsidRPr="00885A57">
        <w:rPr>
          <w:rFonts w:ascii="Times New Roman" w:eastAsia="標楷體" w:hAnsi="Times New Roman" w:cs="Times New Roman"/>
          <w:szCs w:val="24"/>
        </w:rPr>
        <w:t>B.  Medical environment and information accessibility</w:t>
      </w:r>
    </w:p>
    <w:p w14:paraId="5576C411" w14:textId="228CB82F" w:rsidR="008D44DD" w:rsidRPr="00885A57" w:rsidRDefault="00440FE4"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Aiming to encourage independent clinics to create </w:t>
      </w:r>
      <w:r w:rsidR="00A23BD0">
        <w:rPr>
          <w:rFonts w:ascii="Times New Roman" w:eastAsia="標楷體" w:hAnsi="Times New Roman" w:cs="Times New Roman"/>
          <w:szCs w:val="24"/>
        </w:rPr>
        <w:t>disabled</w:t>
      </w:r>
      <w:r w:rsidRPr="00885A57">
        <w:rPr>
          <w:rFonts w:ascii="Times New Roman" w:eastAsia="標楷體" w:hAnsi="Times New Roman" w:cs="Times New Roman"/>
          <w:szCs w:val="24"/>
        </w:rPr>
        <w:t>-friendly service</w:t>
      </w:r>
      <w:r w:rsidR="00A23BD0">
        <w:rPr>
          <w:rFonts w:ascii="Times New Roman" w:eastAsia="標楷體" w:hAnsi="Times New Roman" w:cs="Times New Roman"/>
          <w:szCs w:val="24"/>
        </w:rPr>
        <w:t>s</w:t>
      </w:r>
      <w:r w:rsidRPr="00885A57">
        <w:rPr>
          <w:rFonts w:ascii="Times New Roman" w:eastAsia="標楷體" w:hAnsi="Times New Roman" w:cs="Times New Roman"/>
          <w:szCs w:val="24"/>
        </w:rPr>
        <w:t xml:space="preserve">, Taiwan has launched the Access Improvement Rewards for Traditional Medicine and Dental Clinics and linked the environmental accessibility data of approximately 21,000 medical institutions in Taiwan to the NHI Express App. The government is now developing regulations on accessibility improvements and patient-friendly service processes in clinics. In the future, MOHW will post information on medical treatment resources for each disability category on the MOHW website, serving as a reference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w:t>
      </w:r>
      <w:r w:rsidRPr="00885A57">
        <w:rPr>
          <w:rFonts w:ascii="Times New Roman" w:eastAsia="標楷體" w:hAnsi="Times New Roman" w:cs="Times New Roman"/>
          <w:strike/>
          <w:szCs w:val="24"/>
        </w:rPr>
        <w:t xml:space="preserve"> </w:t>
      </w:r>
      <w:r w:rsidRPr="00885A57">
        <w:rPr>
          <w:rFonts w:ascii="Times New Roman" w:eastAsia="標楷體" w:hAnsi="Times New Roman" w:cs="Times New Roman"/>
          <w:szCs w:val="24"/>
        </w:rPr>
        <w:t xml:space="preserve">and medical </w:t>
      </w:r>
      <w:r w:rsidRPr="00885A57">
        <w:rPr>
          <w:rFonts w:ascii="Times New Roman" w:eastAsia="標楷體" w:hAnsi="Times New Roman" w:cs="Times New Roman"/>
          <w:szCs w:val="24"/>
        </w:rPr>
        <w:lastRenderedPageBreak/>
        <w:t xml:space="preserve">care providers. As of 2019, a total of 358 public health centers </w:t>
      </w:r>
      <w:r w:rsidR="00A23BD0">
        <w:rPr>
          <w:rFonts w:ascii="Times New Roman" w:eastAsia="標楷體" w:hAnsi="Times New Roman" w:cs="Times New Roman"/>
          <w:szCs w:val="24"/>
        </w:rPr>
        <w:t>had</w:t>
      </w:r>
      <w:r w:rsidR="00A23BD0" w:rsidRPr="00885A57">
        <w:rPr>
          <w:rFonts w:ascii="Times New Roman" w:eastAsia="標楷體" w:hAnsi="Times New Roman" w:cs="Times New Roman"/>
          <w:szCs w:val="24"/>
        </w:rPr>
        <w:t xml:space="preserve"> </w:t>
      </w:r>
      <w:r w:rsidR="00A23BD0">
        <w:rPr>
          <w:rFonts w:ascii="Times New Roman" w:eastAsia="標楷體" w:hAnsi="Times New Roman" w:cs="Times New Roman"/>
          <w:szCs w:val="24"/>
        </w:rPr>
        <w:t xml:space="preserve">earned </w:t>
      </w:r>
      <w:r w:rsidRPr="00885A57">
        <w:rPr>
          <w:rFonts w:ascii="Times New Roman" w:eastAsia="標楷體" w:hAnsi="Times New Roman" w:cs="Times New Roman"/>
          <w:szCs w:val="24"/>
        </w:rPr>
        <w:t>Ageing-Friendly Health Care Institution Certification.</w:t>
      </w:r>
    </w:p>
    <w:p w14:paraId="407D9D71" w14:textId="649ABCD9" w:rsidR="00C977C2" w:rsidRPr="00885A57" w:rsidRDefault="00440FE4" w:rsidP="00D45A46">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MOHW published the </w:t>
      </w:r>
      <w:r w:rsidRPr="00F370E0">
        <w:rPr>
          <w:rFonts w:ascii="Times New Roman" w:eastAsia="標楷體" w:hAnsi="Times New Roman" w:cs="Times New Roman"/>
          <w:i/>
          <w:szCs w:val="24"/>
        </w:rPr>
        <w:t>MOHW-affiliated Hospitals Friendly Handbook</w:t>
      </w:r>
      <w:r w:rsidR="00A23BD0" w:rsidRPr="00F370E0">
        <w:rPr>
          <w:rFonts w:ascii="Times New Roman" w:eastAsia="標楷體" w:hAnsi="Times New Roman" w:cs="Times New Roman"/>
          <w:i/>
          <w:szCs w:val="24"/>
        </w:rPr>
        <w:t xml:space="preserve"> </w:t>
      </w:r>
      <w:r w:rsidRPr="00F370E0">
        <w:rPr>
          <w:rFonts w:ascii="Times New Roman" w:eastAsia="標楷體" w:hAnsi="Times New Roman" w:cs="Times New Roman"/>
          <w:i/>
          <w:szCs w:val="24"/>
        </w:rPr>
        <w:t xml:space="preserve">for </w:t>
      </w:r>
      <w:r w:rsidR="00A23BD0" w:rsidRPr="00F370E0">
        <w:rPr>
          <w:rFonts w:ascii="Times New Roman" w:eastAsia="標楷體" w:hAnsi="Times New Roman" w:cs="Times New Roman"/>
          <w:i/>
          <w:szCs w:val="24"/>
        </w:rPr>
        <w:t>P</w:t>
      </w:r>
      <w:r w:rsidRPr="00F370E0">
        <w:rPr>
          <w:rFonts w:ascii="Times New Roman" w:eastAsia="標楷體" w:hAnsi="Times New Roman" w:cs="Times New Roman"/>
          <w:i/>
          <w:szCs w:val="24"/>
        </w:rPr>
        <w:t xml:space="preserve">eople with </w:t>
      </w:r>
      <w:r w:rsidR="00A23BD0" w:rsidRPr="00F370E0">
        <w:rPr>
          <w:rFonts w:ascii="Times New Roman" w:eastAsia="標楷體" w:hAnsi="Times New Roman" w:cs="Times New Roman"/>
          <w:i/>
          <w:szCs w:val="24"/>
        </w:rPr>
        <w:t xml:space="preserve">Visual </w:t>
      </w:r>
      <w:r w:rsidRPr="00F370E0">
        <w:rPr>
          <w:rFonts w:ascii="Times New Roman" w:eastAsia="標楷體" w:hAnsi="Times New Roman" w:cs="Times New Roman"/>
          <w:i/>
          <w:szCs w:val="24"/>
        </w:rPr>
        <w:t xml:space="preserve">and </w:t>
      </w:r>
      <w:r w:rsidR="00A23BD0" w:rsidRPr="00F370E0">
        <w:rPr>
          <w:rFonts w:ascii="Times New Roman" w:eastAsia="標楷體" w:hAnsi="Times New Roman" w:cs="Times New Roman"/>
          <w:i/>
          <w:szCs w:val="24"/>
        </w:rPr>
        <w:t>Hearing Impairment</w:t>
      </w:r>
      <w:r w:rsidR="00630C89">
        <w:rPr>
          <w:rFonts w:ascii="Times New Roman" w:eastAsia="標楷體" w:hAnsi="Times New Roman" w:cs="Times New Roman"/>
          <w:i/>
          <w:szCs w:val="24"/>
        </w:rPr>
        <w:t xml:space="preserve"> </w:t>
      </w:r>
      <w:r w:rsidR="00630C89" w:rsidRPr="00F370E0">
        <w:rPr>
          <w:rFonts w:ascii="Times New Roman" w:eastAsia="標楷體" w:hAnsi="Times New Roman" w:cs="Times New Roman"/>
          <w:szCs w:val="24"/>
        </w:rPr>
        <w:t>i</w:t>
      </w:r>
      <w:r w:rsidRPr="00630C89">
        <w:rPr>
          <w:rFonts w:ascii="Times New Roman" w:eastAsia="標楷體" w:hAnsi="Times New Roman" w:cs="Times New Roman"/>
          <w:szCs w:val="24"/>
        </w:rPr>
        <w:t>n</w:t>
      </w:r>
      <w:r w:rsidRPr="00885A57">
        <w:rPr>
          <w:rFonts w:ascii="Times New Roman" w:eastAsia="標楷體" w:hAnsi="Times New Roman" w:cs="Times New Roman"/>
          <w:szCs w:val="24"/>
        </w:rPr>
        <w:t xml:space="preserve"> 2015. At present, seven MOHW-affiliated hospitals have implemented special services for</w:t>
      </w:r>
      <w:r w:rsidRPr="00885A57">
        <w:rPr>
          <w:rFonts w:ascii="Times New Roman" w:hAnsi="Times New Roman" w:cs="Times New Roman"/>
          <w:szCs w:val="24"/>
        </w:rPr>
        <w:t xml:space="preserve"> </w:t>
      </w:r>
      <w:r w:rsidRPr="00885A57">
        <w:rPr>
          <w:rFonts w:ascii="Times New Roman" w:eastAsia="標楷體" w:hAnsi="Times New Roman" w:cs="Times New Roman"/>
          <w:szCs w:val="24"/>
        </w:rPr>
        <w:t xml:space="preserve">people with visual and hearing impairment </w:t>
      </w:r>
      <w:r w:rsidR="00A23BD0">
        <w:rPr>
          <w:rFonts w:ascii="Times New Roman" w:eastAsia="標楷體" w:hAnsi="Times New Roman" w:cs="Times New Roman"/>
          <w:szCs w:val="24"/>
        </w:rPr>
        <w:t xml:space="preserve">that address various </w:t>
      </w:r>
      <w:r w:rsidRPr="00885A57">
        <w:rPr>
          <w:rFonts w:ascii="Times New Roman" w:eastAsia="標楷體" w:hAnsi="Times New Roman" w:cs="Times New Roman"/>
          <w:szCs w:val="24"/>
        </w:rPr>
        <w:t xml:space="preserve">aspects of </w:t>
      </w:r>
      <w:r w:rsidR="00A23BD0">
        <w:rPr>
          <w:rFonts w:ascii="Times New Roman" w:eastAsia="標楷體" w:hAnsi="Times New Roman" w:cs="Times New Roman"/>
          <w:szCs w:val="24"/>
        </w:rPr>
        <w:t xml:space="preserve">a </w:t>
      </w:r>
      <w:r w:rsidRPr="00885A57">
        <w:rPr>
          <w:rFonts w:ascii="Times New Roman" w:eastAsia="標楷體" w:hAnsi="Times New Roman" w:cs="Times New Roman"/>
          <w:szCs w:val="24"/>
        </w:rPr>
        <w:t>hospital visit, such as apply</w:t>
      </w:r>
      <w:r w:rsidR="00A23BD0">
        <w:rPr>
          <w:rFonts w:ascii="Times New Roman" w:eastAsia="標楷體" w:hAnsi="Times New Roman" w:cs="Times New Roman"/>
          <w:szCs w:val="24"/>
        </w:rPr>
        <w:t>ing</w:t>
      </w:r>
      <w:r w:rsidRPr="00885A57">
        <w:rPr>
          <w:rFonts w:ascii="Times New Roman" w:eastAsia="標楷體" w:hAnsi="Times New Roman" w:cs="Times New Roman"/>
          <w:szCs w:val="24"/>
        </w:rPr>
        <w:t xml:space="preserve"> for sign language interpreters and request</w:t>
      </w:r>
      <w:r w:rsidR="00A23BD0">
        <w:rPr>
          <w:rFonts w:ascii="Times New Roman" w:eastAsia="標楷體" w:hAnsi="Times New Roman" w:cs="Times New Roman"/>
          <w:szCs w:val="24"/>
        </w:rPr>
        <w:t>ing</w:t>
      </w:r>
      <w:r w:rsidRPr="00885A57">
        <w:rPr>
          <w:rFonts w:ascii="Times New Roman" w:eastAsia="標楷體" w:hAnsi="Times New Roman" w:cs="Times New Roman"/>
          <w:szCs w:val="24"/>
        </w:rPr>
        <w:t xml:space="preserve"> escort or </w:t>
      </w:r>
      <w:r w:rsidR="00A23BD0">
        <w:rPr>
          <w:rFonts w:ascii="Times New Roman" w:eastAsia="標楷體" w:hAnsi="Times New Roman" w:cs="Times New Roman"/>
          <w:bCs/>
          <w:szCs w:val="24"/>
        </w:rPr>
        <w:t xml:space="preserve">other </w:t>
      </w:r>
      <w:r w:rsidRPr="00885A57">
        <w:rPr>
          <w:rFonts w:ascii="Times New Roman" w:eastAsia="標楷體" w:hAnsi="Times New Roman" w:cs="Times New Roman"/>
          <w:szCs w:val="24"/>
        </w:rPr>
        <w:t xml:space="preserve">devices. These hospitals also provide equipment such as hearing aids, writing boards, flash cards for health education, and elevators with </w:t>
      </w:r>
      <w:r w:rsidR="00A23BD0">
        <w:rPr>
          <w:rFonts w:ascii="Times New Roman" w:eastAsia="標楷體" w:hAnsi="Times New Roman" w:cs="Times New Roman"/>
          <w:szCs w:val="24"/>
        </w:rPr>
        <w:t>B</w:t>
      </w:r>
      <w:r w:rsidR="00A23BD0" w:rsidRPr="00885A57">
        <w:rPr>
          <w:rFonts w:ascii="Times New Roman" w:eastAsia="標楷體" w:hAnsi="Times New Roman" w:cs="Times New Roman"/>
          <w:szCs w:val="24"/>
        </w:rPr>
        <w:t xml:space="preserve">raille </w:t>
      </w:r>
      <w:r w:rsidRPr="00885A57">
        <w:rPr>
          <w:rFonts w:ascii="Times New Roman" w:eastAsia="標楷體" w:hAnsi="Times New Roman" w:cs="Times New Roman"/>
          <w:szCs w:val="24"/>
        </w:rPr>
        <w:t>signage.</w:t>
      </w:r>
      <w:r w:rsidR="00630C89" w:rsidRPr="00F370E0">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In 2020, the Ministry developed a guidebook on </w:t>
      </w:r>
      <w:r w:rsidR="00D41831">
        <w:rPr>
          <w:rFonts w:ascii="Times New Roman" w:eastAsia="標楷體" w:hAnsi="Times New Roman" w:cs="Times New Roman"/>
          <w:szCs w:val="24"/>
        </w:rPr>
        <w:t>creating</w:t>
      </w:r>
      <w:r w:rsidR="00D41831"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accessible treatment environments in hospitals and medical institutions. The guidebook details improvement recommendations for medical treatment environments</w:t>
      </w:r>
      <w:r w:rsidR="00D41831">
        <w:rPr>
          <w:rFonts w:ascii="Times New Roman" w:eastAsia="標楷體" w:hAnsi="Times New Roman" w:cs="Times New Roman"/>
          <w:szCs w:val="24"/>
        </w:rPr>
        <w:t xml:space="preserve"> (both equipment and treatment)</w:t>
      </w:r>
      <w:r w:rsidRPr="00885A57">
        <w:rPr>
          <w:rFonts w:ascii="Times New Roman" w:eastAsia="標楷體" w:hAnsi="Times New Roman" w:cs="Times New Roman"/>
          <w:szCs w:val="24"/>
        </w:rPr>
        <w:t xml:space="preserve">, medical procedures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suggestions on patient transfer services, public resources, relevant galleries, benchmarking cases, teaching materials for training programs, and comparisons between private and public resources. The guidebook is available for all hospitals in Taiwan.</w:t>
      </w:r>
    </w:p>
    <w:p w14:paraId="61541F5B" w14:textId="6F1900BD" w:rsidR="005926C3" w:rsidRPr="00885A57" w:rsidRDefault="00440FE4" w:rsidP="006F04A1">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58" w:name="_Ref39510291"/>
      <w:r w:rsidRPr="00885A57">
        <w:rPr>
          <w:rFonts w:ascii="Times New Roman" w:eastAsia="微軟正黑體" w:hAnsi="Times New Roman" w:cs="Times New Roman"/>
          <w:szCs w:val="24"/>
        </w:rPr>
        <w:t>Regarding preventive cancer screening for women with disabilities, medical institutions (</w:t>
      </w:r>
      <w:r w:rsidR="00D41831">
        <w:rPr>
          <w:rFonts w:ascii="Times New Roman" w:eastAsia="微軟正黑體" w:hAnsi="Times New Roman" w:cs="Times New Roman"/>
          <w:szCs w:val="24"/>
        </w:rPr>
        <w:t xml:space="preserve">and mobile </w:t>
      </w:r>
      <w:r w:rsidRPr="00885A57">
        <w:rPr>
          <w:rFonts w:ascii="Times New Roman" w:eastAsia="微軟正黑體" w:hAnsi="Times New Roman" w:cs="Times New Roman"/>
          <w:szCs w:val="24"/>
        </w:rPr>
        <w:t xml:space="preserve">mammography vehicles) within the jurisdiction of local health administrations have mammography equipment with a liftable inspection platform, and participants with disabilities </w:t>
      </w:r>
      <w:r w:rsidR="00D41831">
        <w:rPr>
          <w:rFonts w:ascii="Times New Roman" w:eastAsia="微軟正黑體" w:hAnsi="Times New Roman" w:cs="Times New Roman"/>
          <w:szCs w:val="24"/>
        </w:rPr>
        <w:t xml:space="preserve">can be </w:t>
      </w:r>
      <w:r w:rsidRPr="00885A57">
        <w:rPr>
          <w:rFonts w:ascii="Times New Roman" w:eastAsia="微軟正黑體" w:hAnsi="Times New Roman" w:cs="Times New Roman"/>
          <w:szCs w:val="24"/>
        </w:rPr>
        <w:t xml:space="preserve">accompanied by staff to reduce their difficulties. Considering that the space within an accessible mammography vehicle is limited, the MOHW recommends </w:t>
      </w:r>
      <w:r w:rsidR="00D41831">
        <w:rPr>
          <w:rFonts w:ascii="Times New Roman" w:eastAsia="微軟正黑體" w:hAnsi="Times New Roman" w:cs="Times New Roman"/>
          <w:szCs w:val="24"/>
        </w:rPr>
        <w:t xml:space="preserve">that </w:t>
      </w:r>
      <w:r w:rsidRPr="00885A57">
        <w:rPr>
          <w:rFonts w:ascii="Times New Roman" w:eastAsia="標楷體" w:hAnsi="Times New Roman" w:cs="Times New Roman"/>
          <w:kern w:val="0"/>
          <w:szCs w:val="24"/>
        </w:rPr>
        <w:t>people</w:t>
      </w:r>
      <w:r w:rsidRPr="00885A57">
        <w:rPr>
          <w:rFonts w:ascii="Times New Roman" w:eastAsia="微軟正黑體" w:hAnsi="Times New Roman" w:cs="Times New Roman"/>
          <w:szCs w:val="24"/>
        </w:rPr>
        <w:t xml:space="preserve"> with disabilities </w:t>
      </w:r>
      <w:r w:rsidR="00D41831">
        <w:rPr>
          <w:rFonts w:ascii="Times New Roman" w:eastAsia="微軟正黑體" w:hAnsi="Times New Roman" w:cs="Times New Roman"/>
          <w:szCs w:val="24"/>
        </w:rPr>
        <w:t xml:space="preserve">go for examinations at </w:t>
      </w:r>
      <w:r w:rsidRPr="00885A57">
        <w:rPr>
          <w:rFonts w:ascii="Times New Roman" w:eastAsia="微軟正黑體" w:hAnsi="Times New Roman" w:cs="Times New Roman"/>
          <w:szCs w:val="24"/>
        </w:rPr>
        <w:t>medical institution</w:t>
      </w:r>
      <w:r w:rsidR="00D41831">
        <w:rPr>
          <w:rFonts w:ascii="Times New Roman" w:eastAsia="微軟正黑體" w:hAnsi="Times New Roman" w:cs="Times New Roman"/>
          <w:szCs w:val="24"/>
        </w:rPr>
        <w:t>s</w:t>
      </w:r>
      <w:r w:rsidRPr="00885A57">
        <w:rPr>
          <w:rFonts w:ascii="Times New Roman" w:eastAsia="微軟正黑體" w:hAnsi="Times New Roman" w:cs="Times New Roman"/>
          <w:szCs w:val="24"/>
        </w:rPr>
        <w:t xml:space="preserve">. The MOHW has been investigating </w:t>
      </w:r>
      <w:r w:rsidR="00D41831">
        <w:rPr>
          <w:rFonts w:ascii="Times New Roman" w:eastAsia="微軟正黑體" w:hAnsi="Times New Roman" w:cs="Times New Roman"/>
          <w:szCs w:val="24"/>
        </w:rPr>
        <w:t xml:space="preserve">the </w:t>
      </w:r>
      <w:r w:rsidR="00D41831">
        <w:rPr>
          <w:rFonts w:ascii="Times New Roman" w:eastAsia="微軟正黑體" w:hAnsi="Times New Roman" w:cs="Times New Roman"/>
          <w:szCs w:val="24"/>
        </w:rPr>
        <w:lastRenderedPageBreak/>
        <w:t>physical space restrictions affecting</w:t>
      </w:r>
      <w:r w:rsidRPr="00885A57">
        <w:rPr>
          <w:rFonts w:ascii="Times New Roman" w:eastAsia="微軟正黑體" w:hAnsi="Times New Roman" w:cs="Times New Roman"/>
          <w:szCs w:val="24"/>
        </w:rPr>
        <w:t xml:space="preserve"> mammography equipment </w:t>
      </w:r>
      <w:r w:rsidR="00D41831">
        <w:rPr>
          <w:rFonts w:ascii="Times New Roman" w:eastAsia="微軟正黑體" w:hAnsi="Times New Roman" w:cs="Times New Roman"/>
          <w:szCs w:val="24"/>
        </w:rPr>
        <w:t xml:space="preserve">at </w:t>
      </w:r>
      <w:r w:rsidRPr="00885A57">
        <w:rPr>
          <w:rFonts w:ascii="Times New Roman" w:eastAsia="微軟正黑體" w:hAnsi="Times New Roman" w:cs="Times New Roman"/>
          <w:szCs w:val="24"/>
        </w:rPr>
        <w:t>medical institutions</w:t>
      </w:r>
      <w:r w:rsidR="00D41831">
        <w:rPr>
          <w:rFonts w:ascii="Times New Roman" w:eastAsia="微軟正黑體" w:hAnsi="Times New Roman" w:cs="Times New Roman"/>
          <w:szCs w:val="24"/>
        </w:rPr>
        <w:t>;</w:t>
      </w:r>
      <w:r w:rsidR="00D41831" w:rsidRPr="00885A57">
        <w:rPr>
          <w:rFonts w:ascii="Times New Roman" w:eastAsia="微軟正黑體" w:hAnsi="Times New Roman" w:cs="Times New Roman"/>
          <w:szCs w:val="24"/>
        </w:rPr>
        <w:t xml:space="preserve"> </w:t>
      </w:r>
      <w:r w:rsidR="00D41831">
        <w:rPr>
          <w:rFonts w:ascii="Times New Roman" w:eastAsia="微軟正黑體" w:hAnsi="Times New Roman" w:cs="Times New Roman"/>
          <w:szCs w:val="24"/>
        </w:rPr>
        <w:t xml:space="preserve">this will provide </w:t>
      </w:r>
      <w:r w:rsidRPr="00885A57">
        <w:rPr>
          <w:rFonts w:ascii="Times New Roman" w:eastAsia="微軟正黑體" w:hAnsi="Times New Roman" w:cs="Times New Roman"/>
          <w:szCs w:val="24"/>
        </w:rPr>
        <w:t>relevant information for women with disabilities.</w:t>
      </w:r>
      <w:bookmarkEnd w:id="158"/>
      <w:r w:rsidRPr="00885A57">
        <w:rPr>
          <w:rStyle w:val="ab"/>
          <w:rFonts w:ascii="Times New Roman" w:eastAsia="標楷體" w:hAnsi="Times New Roman" w:cs="Times New Roman"/>
        </w:rPr>
        <w:footnoteReference w:id="104"/>
      </w:r>
    </w:p>
    <w:p w14:paraId="09F782CA" w14:textId="59944A79" w:rsidR="001A0FF6" w:rsidRPr="00885A57" w:rsidRDefault="00440FE4"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59" w:name="_Ref33523069"/>
      <w:r w:rsidRPr="00885A57">
        <w:rPr>
          <w:rFonts w:ascii="Times New Roman" w:eastAsia="標楷體" w:hAnsi="Times New Roman" w:cs="Times New Roman"/>
          <w:szCs w:val="24"/>
        </w:rPr>
        <w:t xml:space="preserve">Concerning courses aiming </w:t>
      </w:r>
      <w:r w:rsidR="00D41831">
        <w:rPr>
          <w:rFonts w:ascii="Times New Roman" w:eastAsia="標楷體" w:hAnsi="Times New Roman" w:cs="Times New Roman"/>
          <w:szCs w:val="24"/>
        </w:rPr>
        <w:t xml:space="preserve">at improving </w:t>
      </w:r>
      <w:r w:rsidRPr="00885A57">
        <w:rPr>
          <w:rFonts w:ascii="Times New Roman" w:eastAsia="標楷體" w:hAnsi="Times New Roman" w:cs="Times New Roman"/>
          <w:szCs w:val="24"/>
        </w:rPr>
        <w:t xml:space="preserve">health care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particularly courses involving training and </w:t>
      </w:r>
      <w:r w:rsidR="00D41831">
        <w:rPr>
          <w:rFonts w:ascii="Times New Roman" w:eastAsia="標楷體" w:hAnsi="Times New Roman" w:cs="Times New Roman"/>
          <w:szCs w:val="24"/>
        </w:rPr>
        <w:t xml:space="preserve">raising awareness </w:t>
      </w:r>
      <w:r w:rsidRPr="00885A57">
        <w:rPr>
          <w:rFonts w:ascii="Times New Roman" w:eastAsia="標楷體" w:hAnsi="Times New Roman" w:cs="Times New Roman"/>
          <w:szCs w:val="24"/>
        </w:rPr>
        <w:t>of sexual and reproductive health care for care providers, 244 continuing education courses involving sexual and reproductive health care services were offered between 2016 and June 2019. The number of continuing education courses for medical staff on gender equality exceeds 800 every year</w:t>
      </w:r>
      <w:r w:rsidR="00D41831">
        <w:rPr>
          <w:rFonts w:ascii="Times New Roman" w:eastAsia="標楷體" w:hAnsi="Times New Roman" w:cs="Times New Roman"/>
          <w:szCs w:val="24"/>
        </w:rPr>
        <w:t xml:space="preserve">; these attract </w:t>
      </w:r>
      <w:r w:rsidRPr="00885A57">
        <w:rPr>
          <w:rFonts w:ascii="Times New Roman" w:eastAsia="標楷體" w:hAnsi="Times New Roman" w:cs="Times New Roman"/>
          <w:szCs w:val="24"/>
        </w:rPr>
        <w:t xml:space="preserve">10,000 participants. Between 2019 and 2020, 200 courses on health care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were offered in the continuing education curriculum for medical staff, attracting 2,000 trainees. In 2019, 442 and 944 individuals completed basic and advanced training, respectively, in </w:t>
      </w:r>
      <w:r w:rsidR="00D41831">
        <w:rPr>
          <w:rFonts w:ascii="Times New Roman" w:eastAsia="標楷體" w:hAnsi="Times New Roman" w:cs="Times New Roman"/>
          <w:szCs w:val="24"/>
        </w:rPr>
        <w:t xml:space="preserve">providing </w:t>
      </w:r>
      <w:r w:rsidRPr="00885A57">
        <w:rPr>
          <w:rFonts w:ascii="Times New Roman" w:eastAsia="標楷體" w:hAnsi="Times New Roman" w:cs="Times New Roman"/>
          <w:szCs w:val="24"/>
        </w:rPr>
        <w:t xml:space="preserve">dental health care </w:t>
      </w:r>
      <w:r w:rsidR="00D41831">
        <w:rPr>
          <w:rFonts w:ascii="Times New Roman" w:eastAsia="標楷體" w:hAnsi="Times New Roman" w:cs="Times New Roman"/>
          <w:szCs w:val="24"/>
        </w:rPr>
        <w:t xml:space="preserve">to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According to various </w:t>
      </w:r>
      <w:r w:rsidR="00D41831">
        <w:rPr>
          <w:rFonts w:ascii="Times New Roman" w:eastAsia="標楷體" w:hAnsi="Times New Roman" w:cs="Times New Roman"/>
          <w:szCs w:val="24"/>
        </w:rPr>
        <w:t>laws</w:t>
      </w:r>
      <w:r w:rsidRPr="00885A57">
        <w:rPr>
          <w:rFonts w:ascii="Times New Roman" w:eastAsia="標楷體" w:hAnsi="Times New Roman" w:cs="Times New Roman"/>
          <w:szCs w:val="24"/>
        </w:rPr>
        <w:t xml:space="preserve">, medical staff must complete a certain number of continuing education hours every six years to keep their license current. </w:t>
      </w:r>
      <w:r w:rsidR="00D41831">
        <w:rPr>
          <w:rFonts w:ascii="Times New Roman" w:eastAsia="標楷體" w:hAnsi="Times New Roman" w:cs="Times New Roman"/>
          <w:szCs w:val="24"/>
        </w:rPr>
        <w:t xml:space="preserve">As part of this continuing </w:t>
      </w:r>
      <w:r w:rsidRPr="00885A57">
        <w:rPr>
          <w:rFonts w:ascii="Times New Roman" w:eastAsia="標楷體" w:hAnsi="Times New Roman" w:cs="Times New Roman"/>
          <w:szCs w:val="24"/>
        </w:rPr>
        <w:t xml:space="preserve">education, gender is a compulsory topic that medical staff must complete before renewing their licenses; the curriculum covers issues related to the sexual and reproductive health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and their health care services. In August 2019, the regulation was amended and required a newly licensed physician to receive training</w:t>
      </w:r>
      <w:r w:rsidR="00D41831">
        <w:rPr>
          <w:rFonts w:ascii="Times New Roman" w:eastAsia="標楷體" w:hAnsi="Times New Roman" w:cs="Times New Roman"/>
          <w:szCs w:val="24"/>
        </w:rPr>
        <w:t xml:space="preserve"> in such areas</w:t>
      </w:r>
      <w:r w:rsidRPr="00885A57">
        <w:rPr>
          <w:rFonts w:ascii="Times New Roman" w:eastAsia="標楷體" w:hAnsi="Times New Roman" w:cs="Times New Roman"/>
          <w:szCs w:val="24"/>
        </w:rPr>
        <w:t xml:space="preserve"> as rehabilitation for </w:t>
      </w:r>
      <w:r w:rsidR="00A15937" w:rsidRPr="00885A57">
        <w:rPr>
          <w:rFonts w:ascii="Times New Roman" w:eastAsia="標楷體" w:hAnsi="Times New Roman" w:cs="Times New Roman"/>
          <w:kern w:val="0"/>
          <w:szCs w:val="24"/>
        </w:rPr>
        <w:t>people</w:t>
      </w:r>
      <w:r w:rsidR="00A15937"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including children) with disabilities, gender issues, and case studies during their two-year </w:t>
      </w:r>
      <w:r w:rsidR="00D41831">
        <w:rPr>
          <w:rFonts w:ascii="Times New Roman" w:eastAsia="標楷體" w:hAnsi="Times New Roman" w:cs="Times New Roman"/>
          <w:szCs w:val="24"/>
        </w:rPr>
        <w:t xml:space="preserve">postgraduate </w:t>
      </w:r>
      <w:r w:rsidRPr="00885A57">
        <w:rPr>
          <w:rFonts w:ascii="Times New Roman" w:eastAsia="標楷體" w:hAnsi="Times New Roman" w:cs="Times New Roman"/>
          <w:szCs w:val="24"/>
        </w:rPr>
        <w:t xml:space="preserve">training. Additionally, training in community medicine must include intellectual disability and development centers as the training </w:t>
      </w:r>
      <w:r w:rsidRPr="00885A57">
        <w:rPr>
          <w:rFonts w:ascii="Times New Roman" w:eastAsia="標楷體" w:hAnsi="Times New Roman" w:cs="Times New Roman"/>
          <w:szCs w:val="24"/>
        </w:rPr>
        <w:lastRenderedPageBreak/>
        <w:t>venue.</w:t>
      </w:r>
      <w:bookmarkEnd w:id="159"/>
      <w:r w:rsidRPr="00885A57">
        <w:rPr>
          <w:rStyle w:val="ab"/>
          <w:rFonts w:ascii="Times New Roman" w:eastAsia="標楷體" w:hAnsi="Times New Roman" w:cs="Times New Roman"/>
        </w:rPr>
        <w:footnoteReference w:id="105"/>
      </w:r>
    </w:p>
    <w:p w14:paraId="67C369C3" w14:textId="36CB396C" w:rsidR="008F4C0B" w:rsidRPr="00885A57" w:rsidRDefault="00440FE4" w:rsidP="006F04A1">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微軟正黑體" w:hAnsi="Times New Roman" w:cs="Times New Roman"/>
          <w:szCs w:val="24"/>
        </w:rPr>
        <w:t>The MOHW provides pregnancy consultation</w:t>
      </w:r>
      <w:r w:rsidR="00A4705E">
        <w:rPr>
          <w:rFonts w:ascii="Times New Roman" w:eastAsia="微軟正黑體" w:hAnsi="Times New Roman" w:cs="Times New Roman"/>
          <w:szCs w:val="24"/>
        </w:rPr>
        <w:t>s</w:t>
      </w:r>
      <w:r w:rsidRPr="00885A57">
        <w:rPr>
          <w:rFonts w:ascii="Times New Roman" w:eastAsia="微軟正黑體" w:hAnsi="Times New Roman" w:cs="Times New Roman"/>
          <w:szCs w:val="24"/>
        </w:rPr>
        <w:t xml:space="preserve"> and necessary information on antepartum, postpartum, infant</w:t>
      </w:r>
      <w:r w:rsidR="00A4705E">
        <w:rPr>
          <w:rFonts w:ascii="Times New Roman" w:eastAsia="微軟正黑體" w:hAnsi="Times New Roman" w:cs="Times New Roman"/>
          <w:szCs w:val="24"/>
        </w:rPr>
        <w:t>,</w:t>
      </w:r>
      <w:r w:rsidRPr="00885A57">
        <w:rPr>
          <w:rFonts w:ascii="Times New Roman" w:eastAsia="微軟正黑體" w:hAnsi="Times New Roman" w:cs="Times New Roman"/>
          <w:szCs w:val="24"/>
        </w:rPr>
        <w:t xml:space="preserve"> and child health care </w:t>
      </w:r>
      <w:r w:rsidR="00A4705E">
        <w:rPr>
          <w:rFonts w:ascii="Times New Roman" w:eastAsia="微軟正黑體" w:hAnsi="Times New Roman" w:cs="Times New Roman"/>
          <w:szCs w:val="24"/>
        </w:rPr>
        <w:t xml:space="preserve">via </w:t>
      </w:r>
      <w:r w:rsidRPr="00885A57">
        <w:rPr>
          <w:rFonts w:ascii="Times New Roman" w:eastAsia="微軟正黑體" w:hAnsi="Times New Roman" w:cs="Times New Roman"/>
          <w:szCs w:val="24"/>
        </w:rPr>
        <w:t xml:space="preserve">official websites </w:t>
      </w:r>
      <w:r w:rsidR="00A4705E">
        <w:rPr>
          <w:rFonts w:ascii="Times New Roman" w:eastAsia="微軟正黑體" w:hAnsi="Times New Roman" w:cs="Times New Roman"/>
          <w:szCs w:val="24"/>
        </w:rPr>
        <w:t xml:space="preserve">that have </w:t>
      </w:r>
      <w:r w:rsidRPr="00885A57">
        <w:rPr>
          <w:rFonts w:ascii="Times New Roman" w:eastAsia="微軟正黑體" w:hAnsi="Times New Roman" w:cs="Times New Roman"/>
          <w:szCs w:val="24"/>
        </w:rPr>
        <w:t xml:space="preserve">accreditation badges </w:t>
      </w:r>
      <w:r w:rsidR="00A4705E">
        <w:rPr>
          <w:rFonts w:ascii="Times New Roman" w:eastAsia="微軟正黑體" w:hAnsi="Times New Roman" w:cs="Times New Roman"/>
          <w:szCs w:val="24"/>
        </w:rPr>
        <w:t xml:space="preserve">for </w:t>
      </w:r>
      <w:r w:rsidRPr="00885A57">
        <w:rPr>
          <w:rFonts w:ascii="Times New Roman" w:eastAsia="微軟正黑體" w:hAnsi="Times New Roman" w:cs="Times New Roman"/>
          <w:szCs w:val="24"/>
        </w:rPr>
        <w:t>web accessibility</w:t>
      </w:r>
      <w:r w:rsidR="00A4705E">
        <w:rPr>
          <w:rFonts w:ascii="Times New Roman" w:eastAsia="微軟正黑體" w:hAnsi="Times New Roman" w:cs="Times New Roman"/>
          <w:szCs w:val="24"/>
        </w:rPr>
        <w:t>;</w:t>
      </w:r>
      <w:r w:rsidR="00A4705E" w:rsidRPr="00885A57">
        <w:rPr>
          <w:rFonts w:ascii="Times New Roman" w:eastAsia="微軟正黑體" w:hAnsi="Times New Roman" w:cs="Times New Roman"/>
          <w:szCs w:val="24"/>
        </w:rPr>
        <w:t xml:space="preserve"> </w:t>
      </w:r>
      <w:r w:rsidRPr="00885A57">
        <w:rPr>
          <w:rFonts w:ascii="Times New Roman" w:eastAsia="微軟正黑體" w:hAnsi="Times New Roman" w:cs="Times New Roman"/>
          <w:szCs w:val="24"/>
        </w:rPr>
        <w:t>a free care hotline for pregnant women</w:t>
      </w:r>
      <w:r w:rsidR="00A4705E">
        <w:rPr>
          <w:rFonts w:ascii="Times New Roman" w:eastAsia="微軟正黑體" w:hAnsi="Times New Roman" w:cs="Times New Roman"/>
          <w:szCs w:val="24"/>
        </w:rPr>
        <w:t>;</w:t>
      </w:r>
      <w:r w:rsidR="00A4705E" w:rsidRPr="00885A57">
        <w:rPr>
          <w:rFonts w:ascii="Times New Roman" w:eastAsia="微軟正黑體" w:hAnsi="Times New Roman" w:cs="Times New Roman"/>
          <w:szCs w:val="24"/>
        </w:rPr>
        <w:t xml:space="preserve"> </w:t>
      </w:r>
      <w:r w:rsidRPr="00885A57">
        <w:rPr>
          <w:rFonts w:ascii="Times New Roman" w:eastAsia="微軟正黑體" w:hAnsi="Times New Roman" w:cs="Times New Roman"/>
          <w:szCs w:val="24"/>
        </w:rPr>
        <w:t>and sexual and reproductive health education materials</w:t>
      </w:r>
      <w:r w:rsidR="00D1521D" w:rsidRPr="00885A57">
        <w:rPr>
          <w:rFonts w:ascii="Times New Roman" w:eastAsia="微軟正黑體" w:hAnsi="Times New Roman" w:cs="Times New Roman"/>
          <w:szCs w:val="24"/>
        </w:rPr>
        <w:t xml:space="preserve"> for caregivers of teenagers with mental disabilities</w:t>
      </w:r>
      <w:r w:rsidRPr="00885A57">
        <w:rPr>
          <w:rFonts w:ascii="Times New Roman" w:eastAsia="微軟正黑體" w:hAnsi="Times New Roman" w:cs="Times New Roman"/>
          <w:szCs w:val="24"/>
        </w:rPr>
        <w:t>. The central government has provided health education and consultation for pregnant women with disabilities since 2020.</w:t>
      </w:r>
    </w:p>
    <w:p w14:paraId="50D0A90C" w14:textId="10E69D9B" w:rsidR="00C25E72" w:rsidRPr="00885A57" w:rsidRDefault="00440FE4"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CIDFont+F2" w:hAnsi="Times New Roman" w:cs="Times New Roman"/>
          <w:kern w:val="0"/>
          <w:szCs w:val="24"/>
        </w:rPr>
        <w:t xml:space="preserve">To safeguard </w:t>
      </w:r>
      <w:r w:rsidR="009A3342">
        <w:rPr>
          <w:rFonts w:ascii="Times New Roman" w:eastAsia="CIDFont+F2" w:hAnsi="Times New Roman" w:cs="Times New Roman"/>
          <w:kern w:val="0"/>
          <w:szCs w:val="24"/>
        </w:rPr>
        <w:t xml:space="preserve">the </w:t>
      </w:r>
      <w:r w:rsidRPr="00885A57">
        <w:rPr>
          <w:rFonts w:ascii="Times New Roman" w:eastAsia="CIDFont+F2" w:hAnsi="Times New Roman" w:cs="Times New Roman"/>
          <w:kern w:val="0"/>
          <w:szCs w:val="24"/>
        </w:rPr>
        <w:t xml:space="preserve">drug use safety of </w:t>
      </w:r>
      <w:r w:rsidRPr="00885A57">
        <w:rPr>
          <w:rFonts w:ascii="Times New Roman" w:eastAsia="標楷體" w:hAnsi="Times New Roman" w:cs="Times New Roman"/>
          <w:kern w:val="0"/>
          <w:szCs w:val="24"/>
        </w:rPr>
        <w:t>people</w:t>
      </w:r>
      <w:r w:rsidRPr="00885A57">
        <w:rPr>
          <w:rFonts w:ascii="Times New Roman" w:eastAsia="CIDFont+F2" w:hAnsi="Times New Roman" w:cs="Times New Roman"/>
          <w:kern w:val="0"/>
          <w:szCs w:val="24"/>
        </w:rPr>
        <w:t xml:space="preserve"> with</w:t>
      </w:r>
      <w:r w:rsidRPr="00885A57">
        <w:rPr>
          <w:rFonts w:ascii="Times New Roman" w:hAnsi="Times New Roman" w:cs="Times New Roman"/>
          <w:kern w:val="0"/>
          <w:szCs w:val="24"/>
        </w:rPr>
        <w:t xml:space="preserve"> </w:t>
      </w:r>
      <w:r w:rsidRPr="00885A57">
        <w:rPr>
          <w:rFonts w:ascii="Times New Roman" w:eastAsia="CIDFont+F2" w:hAnsi="Times New Roman" w:cs="Times New Roman"/>
          <w:kern w:val="0"/>
          <w:szCs w:val="24"/>
        </w:rPr>
        <w:t xml:space="preserve">visual impairment, the MOHW announced the </w:t>
      </w:r>
      <w:r w:rsidRPr="002153DE">
        <w:rPr>
          <w:rFonts w:ascii="Times New Roman" w:eastAsia="CIDFont+F2" w:hAnsi="Times New Roman" w:cs="Times New Roman"/>
          <w:iCs/>
          <w:kern w:val="0"/>
          <w:szCs w:val="24"/>
        </w:rPr>
        <w:t>Regulations of Outer Box and Package Insert</w:t>
      </w:r>
      <w:r w:rsidRPr="002153DE">
        <w:rPr>
          <w:rFonts w:ascii="Times New Roman" w:hAnsi="Times New Roman" w:cs="Times New Roman"/>
          <w:iCs/>
          <w:kern w:val="0"/>
          <w:szCs w:val="24"/>
        </w:rPr>
        <w:t xml:space="preserve"> </w:t>
      </w:r>
      <w:r w:rsidRPr="002153DE">
        <w:rPr>
          <w:rFonts w:ascii="Times New Roman" w:eastAsia="CIDFont+F2" w:hAnsi="Times New Roman" w:cs="Times New Roman"/>
          <w:iCs/>
          <w:kern w:val="0"/>
          <w:szCs w:val="24"/>
        </w:rPr>
        <w:t>Format of Western Over-the-Counter Drugs</w:t>
      </w:r>
      <w:r w:rsidRPr="00885A57">
        <w:rPr>
          <w:rFonts w:ascii="Times New Roman" w:eastAsia="CIDFont+F2" w:hAnsi="Times New Roman" w:cs="Times New Roman"/>
          <w:kern w:val="0"/>
          <w:szCs w:val="24"/>
        </w:rPr>
        <w:t xml:space="preserve"> in 2016, stipulating that a</w:t>
      </w:r>
      <w:r w:rsidRPr="00885A57">
        <w:rPr>
          <w:rFonts w:ascii="Times New Roman" w:hAnsi="Times New Roman" w:cs="Times New Roman"/>
          <w:kern w:val="0"/>
          <w:szCs w:val="24"/>
        </w:rPr>
        <w:t xml:space="preserve"> </w:t>
      </w:r>
      <w:r w:rsidRPr="00885A57">
        <w:rPr>
          <w:rFonts w:ascii="Times New Roman" w:eastAsia="CIDFont+F2" w:hAnsi="Times New Roman" w:cs="Times New Roman"/>
          <w:kern w:val="0"/>
          <w:szCs w:val="24"/>
        </w:rPr>
        <w:t xml:space="preserve">Quick Response code must be </w:t>
      </w:r>
      <w:r w:rsidR="009A3342">
        <w:rPr>
          <w:rFonts w:ascii="Times New Roman" w:eastAsia="CIDFont+F2" w:hAnsi="Times New Roman" w:cs="Times New Roman"/>
          <w:kern w:val="0"/>
          <w:szCs w:val="24"/>
        </w:rPr>
        <w:t xml:space="preserve">printed on </w:t>
      </w:r>
      <w:r w:rsidRPr="00885A57">
        <w:rPr>
          <w:rFonts w:ascii="Times New Roman" w:eastAsia="CIDFont+F2" w:hAnsi="Times New Roman" w:cs="Times New Roman"/>
          <w:kern w:val="0"/>
          <w:szCs w:val="24"/>
        </w:rPr>
        <w:t>the outer box of over-the</w:t>
      </w:r>
      <w:r w:rsidR="00340E3B">
        <w:rPr>
          <w:rFonts w:ascii="Times New Roman" w:hAnsi="Times New Roman" w:cs="Times New Roman"/>
          <w:kern w:val="0"/>
          <w:szCs w:val="24"/>
        </w:rPr>
        <w:t>-</w:t>
      </w:r>
      <w:r w:rsidRPr="00885A57">
        <w:rPr>
          <w:rFonts w:ascii="Times New Roman" w:eastAsia="CIDFont+F2" w:hAnsi="Times New Roman" w:cs="Times New Roman"/>
          <w:kern w:val="0"/>
          <w:szCs w:val="24"/>
        </w:rPr>
        <w:t xml:space="preserve">counter drugs; </w:t>
      </w:r>
      <w:r w:rsidRPr="00885A57">
        <w:rPr>
          <w:rFonts w:ascii="Times New Roman" w:eastAsia="標楷體" w:hAnsi="Times New Roman" w:cs="Times New Roman"/>
          <w:kern w:val="0"/>
          <w:szCs w:val="24"/>
        </w:rPr>
        <w:t>people</w:t>
      </w:r>
      <w:r w:rsidRPr="00885A57">
        <w:rPr>
          <w:rFonts w:ascii="Times New Roman" w:eastAsia="CIDFont+F2" w:hAnsi="Times New Roman" w:cs="Times New Roman"/>
          <w:kern w:val="0"/>
          <w:szCs w:val="24"/>
        </w:rPr>
        <w:t xml:space="preserve"> with visual impairment</w:t>
      </w:r>
      <w:r w:rsidRPr="00885A57">
        <w:rPr>
          <w:rFonts w:ascii="Times New Roman" w:hAnsi="Times New Roman" w:cs="Times New Roman"/>
          <w:kern w:val="0"/>
          <w:szCs w:val="24"/>
        </w:rPr>
        <w:t xml:space="preserve"> </w:t>
      </w:r>
      <w:r w:rsidRPr="00885A57">
        <w:rPr>
          <w:rFonts w:ascii="Times New Roman" w:eastAsia="CIDFont+F2" w:hAnsi="Times New Roman" w:cs="Times New Roman"/>
          <w:kern w:val="0"/>
          <w:szCs w:val="24"/>
        </w:rPr>
        <w:t>can scan the code, which then delivers medication information through</w:t>
      </w:r>
      <w:r w:rsidRPr="00885A57">
        <w:rPr>
          <w:rFonts w:ascii="Times New Roman" w:hAnsi="Times New Roman" w:cs="Times New Roman"/>
          <w:kern w:val="0"/>
          <w:szCs w:val="24"/>
        </w:rPr>
        <w:t xml:space="preserve"> </w:t>
      </w:r>
      <w:r w:rsidRPr="00885A57">
        <w:rPr>
          <w:rFonts w:ascii="Times New Roman" w:eastAsia="CIDFont+F2" w:hAnsi="Times New Roman" w:cs="Times New Roman"/>
          <w:kern w:val="0"/>
          <w:szCs w:val="24"/>
        </w:rPr>
        <w:t>voice messages to their mobile phones, thereby ensuring medication</w:t>
      </w:r>
      <w:r w:rsidRPr="00885A57">
        <w:rPr>
          <w:rFonts w:ascii="Times New Roman" w:hAnsi="Times New Roman" w:cs="Times New Roman"/>
          <w:kern w:val="0"/>
          <w:szCs w:val="24"/>
        </w:rPr>
        <w:t xml:space="preserve"> </w:t>
      </w:r>
      <w:r w:rsidRPr="00885A57">
        <w:rPr>
          <w:rFonts w:ascii="Times New Roman" w:eastAsia="CIDFont+F2" w:hAnsi="Times New Roman" w:cs="Times New Roman"/>
          <w:kern w:val="0"/>
          <w:szCs w:val="24"/>
        </w:rPr>
        <w:t>safety.</w:t>
      </w:r>
    </w:p>
    <w:p w14:paraId="362E17F9" w14:textId="519BE140" w:rsidR="00C25E72" w:rsidRPr="00885A57" w:rsidRDefault="00440FE4" w:rsidP="001A2139">
      <w:pPr>
        <w:pStyle w:val="a7"/>
        <w:numPr>
          <w:ilvl w:val="0"/>
          <w:numId w:val="45"/>
        </w:numPr>
        <w:spacing w:after="120" w:line="360" w:lineRule="auto"/>
        <w:ind w:leftChars="0" w:left="567" w:hanging="567"/>
        <w:jc w:val="both"/>
        <w:rPr>
          <w:rFonts w:ascii="Times New Roman" w:eastAsia="標楷體" w:hAnsi="Times New Roman" w:cs="Times New Roman"/>
        </w:rPr>
      </w:pPr>
      <w:bookmarkStart w:id="160" w:name="_Ref33522480"/>
      <w:r w:rsidRPr="00885A57">
        <w:rPr>
          <w:rFonts w:ascii="Times New Roman" w:eastAsia="標楷體" w:hAnsi="Times New Roman" w:cs="Times New Roman"/>
          <w:szCs w:val="24"/>
        </w:rPr>
        <w:t xml:space="preserve">The </w:t>
      </w:r>
      <w:r w:rsidRPr="002153DE">
        <w:rPr>
          <w:rFonts w:ascii="Times New Roman" w:eastAsia="標楷體" w:hAnsi="Times New Roman" w:cs="Times New Roman"/>
          <w:iCs/>
          <w:szCs w:val="24"/>
        </w:rPr>
        <w:t>2019 Hospital Accreditation Criteria and Assessment Items</w:t>
      </w:r>
      <w:r w:rsidRPr="00885A57">
        <w:rPr>
          <w:rFonts w:ascii="Times New Roman" w:eastAsia="標楷體" w:hAnsi="Times New Roman" w:cs="Times New Roman"/>
          <w:szCs w:val="24"/>
        </w:rPr>
        <w:t xml:space="preserve"> provide that hospitals should communicate with patients and adequately explain their disease conditions and treatment processes and methods. In particular, in a case where an invasive examination or treatment is involved, hospitals shall formulate operational regulations and obtain a consent form signed by the patient.</w:t>
      </w:r>
      <w:r w:rsidR="00340E3B">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Moreover, training sessions for medical personnel under the Regional Facilitation Project have included the above topics to ensure that medical </w:t>
      </w:r>
      <w:r w:rsidRPr="00885A57">
        <w:rPr>
          <w:rFonts w:ascii="Times New Roman" w:eastAsia="標楷體" w:hAnsi="Times New Roman" w:cs="Times New Roman"/>
          <w:szCs w:val="24"/>
        </w:rPr>
        <w:lastRenderedPageBreak/>
        <w:t xml:space="preserve">personnel assumes their proper role in the informed consent process before commencing medical diagnosis and treatment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Taiwan commissioned the establishment of the Accessible Medical Treatment Center in 2019; the center is responsible for developing </w:t>
      </w:r>
      <w:r w:rsidR="00931A86">
        <w:rPr>
          <w:rFonts w:ascii="Times New Roman" w:eastAsia="標楷體" w:hAnsi="Times New Roman" w:cs="Times New Roman"/>
          <w:szCs w:val="24"/>
        </w:rPr>
        <w:t>easy-to-read</w:t>
      </w:r>
      <w:r w:rsidRPr="00885A57">
        <w:rPr>
          <w:rFonts w:ascii="Times New Roman" w:eastAsia="標楷體" w:hAnsi="Times New Roman" w:cs="Times New Roman"/>
          <w:szCs w:val="24"/>
        </w:rPr>
        <w:t xml:space="preserve"> versions of health education teaching materials (e.g., samples of commonly used consent forms) for medical practitioners to use.</w:t>
      </w:r>
      <w:bookmarkEnd w:id="160"/>
      <w:r w:rsidRPr="00885A57">
        <w:rPr>
          <w:rFonts w:ascii="Times New Roman" w:eastAsia="標楷體" w:hAnsi="Times New Roman" w:cs="Times New Roman"/>
          <w:vertAlign w:val="superscript"/>
        </w:rPr>
        <w:footnoteReference w:id="106"/>
      </w:r>
    </w:p>
    <w:p w14:paraId="270F196C" w14:textId="1F9542FF" w:rsidR="00D958C4" w:rsidRPr="00885A57" w:rsidRDefault="00762B16" w:rsidP="006F04A1">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According to the </w:t>
      </w:r>
      <w:r w:rsidRPr="002153DE">
        <w:rPr>
          <w:rFonts w:ascii="Times New Roman" w:eastAsia="標楷體" w:hAnsi="Times New Roman" w:cs="Times New Roman"/>
          <w:iCs/>
          <w:szCs w:val="24"/>
        </w:rPr>
        <w:t>Mental Health Act</w:t>
      </w:r>
      <w:r w:rsidRPr="00885A57">
        <w:rPr>
          <w:rFonts w:ascii="Times New Roman" w:eastAsia="標楷體" w:hAnsi="Times New Roman" w:cs="Times New Roman"/>
          <w:szCs w:val="24"/>
        </w:rPr>
        <w:t xml:space="preserve">, As patients are treated or hospitalized, psychiatric institutions shall explain to patients and or their </w:t>
      </w:r>
      <w:r w:rsidR="009A3342">
        <w:rPr>
          <w:rFonts w:ascii="Times New Roman" w:eastAsia="標楷體" w:hAnsi="Times New Roman" w:cs="Times New Roman"/>
          <w:szCs w:val="24"/>
        </w:rPr>
        <w:t>guardians</w:t>
      </w:r>
      <w:r w:rsidR="009A3342"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matters related to the illness, treatment policies, aspects of prognosis, reasons for hospitalization, rights </w:t>
      </w:r>
      <w:r w:rsidR="009A3342">
        <w:rPr>
          <w:rFonts w:ascii="Times New Roman" w:eastAsia="標楷體" w:hAnsi="Times New Roman" w:cs="Times New Roman"/>
          <w:szCs w:val="24"/>
        </w:rPr>
        <w:t xml:space="preserve">of </w:t>
      </w:r>
      <w:r w:rsidRPr="00885A57">
        <w:rPr>
          <w:rFonts w:ascii="Times New Roman" w:eastAsia="標楷體" w:hAnsi="Times New Roman" w:cs="Times New Roman"/>
          <w:szCs w:val="24"/>
        </w:rPr>
        <w:t xml:space="preserve">patients and their </w:t>
      </w:r>
      <w:r w:rsidR="009A3342">
        <w:rPr>
          <w:rFonts w:ascii="Times New Roman" w:eastAsia="標楷體" w:hAnsi="Times New Roman" w:cs="Times New Roman"/>
          <w:szCs w:val="24"/>
        </w:rPr>
        <w:t>guardians</w:t>
      </w:r>
      <w:r w:rsidRPr="00885A57">
        <w:rPr>
          <w:rFonts w:ascii="Times New Roman" w:eastAsia="標楷體" w:hAnsi="Times New Roman" w:cs="Times New Roman"/>
          <w:szCs w:val="24"/>
        </w:rPr>
        <w:t>, and so on.</w:t>
      </w:r>
    </w:p>
    <w:p w14:paraId="3A9AD813" w14:textId="3932F51B" w:rsidR="00C977C2" w:rsidRPr="00885A57" w:rsidRDefault="00762B16" w:rsidP="006F04A1">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The MOHW continues to organize the NHI Improvement Plan in Areas with Insufficient Resources of Western Medicine, Traditional Chinese Medicine, and Dentistry, the NHI Improvement Plan for Efficient Medical Benefit Provision in Mountainous and Offshore Island Areas (i.e., Integrated Delivery System); the Medical Service Improvement Program for Underserved Areas; and the NHI Improvement Plan for the Provision of Early Treatment for Development Retardation, aiming to increase access to medical care in rural areas.</w:t>
      </w:r>
    </w:p>
    <w:p w14:paraId="42967E36" w14:textId="41C1E926" w:rsidR="00EE4915" w:rsidRPr="00885A57" w:rsidRDefault="00762B16" w:rsidP="006F04A1">
      <w:pPr>
        <w:pStyle w:val="a7"/>
        <w:numPr>
          <w:ilvl w:val="0"/>
          <w:numId w:val="45"/>
        </w:numPr>
        <w:spacing w:after="120" w:line="360" w:lineRule="auto"/>
        <w:ind w:leftChars="0" w:left="567" w:hanging="567"/>
        <w:jc w:val="both"/>
        <w:rPr>
          <w:rFonts w:ascii="Times New Roman" w:eastAsia="標楷體" w:hAnsi="Times New Roman" w:cs="Times New Roman"/>
        </w:rPr>
      </w:pPr>
      <w:bookmarkStart w:id="161" w:name="_Ref38307919"/>
      <w:r w:rsidRPr="00885A57">
        <w:rPr>
          <w:rFonts w:ascii="Times New Roman" w:eastAsia="標楷體" w:hAnsi="Times New Roman" w:cs="Times New Roman"/>
          <w:szCs w:val="24"/>
        </w:rPr>
        <w:t xml:space="preserve">To improve </w:t>
      </w:r>
      <w:r w:rsidR="00DE095E">
        <w:rPr>
          <w:rFonts w:ascii="Times New Roman" w:eastAsia="標楷體" w:hAnsi="Times New Roman" w:cs="Times New Roman"/>
          <w:szCs w:val="24"/>
        </w:rPr>
        <w:t xml:space="preserve">access to </w:t>
      </w:r>
      <w:r w:rsidRPr="00885A57">
        <w:rPr>
          <w:rFonts w:ascii="Times New Roman" w:eastAsia="標楷體" w:hAnsi="Times New Roman" w:cs="Times New Roman"/>
          <w:szCs w:val="24"/>
        </w:rPr>
        <w:t xml:space="preserve">medical care access in rural areas </w:t>
      </w:r>
      <w:r w:rsidR="00DE095E">
        <w:rPr>
          <w:rFonts w:ascii="Times New Roman" w:eastAsia="標楷體" w:hAnsi="Times New Roman" w:cs="Times New Roman"/>
          <w:szCs w:val="24"/>
        </w:rPr>
        <w:t xml:space="preserve">and </w:t>
      </w:r>
      <w:r w:rsidRPr="00885A57">
        <w:rPr>
          <w:rFonts w:ascii="Times New Roman" w:eastAsia="標楷體" w:hAnsi="Times New Roman" w:cs="Times New Roman"/>
          <w:szCs w:val="24"/>
        </w:rPr>
        <w:t xml:space="preserve">local health care services in mountainous areas, </w:t>
      </w:r>
      <w:r w:rsidR="00215840" w:rsidRPr="00885A57">
        <w:rPr>
          <w:rFonts w:ascii="Times New Roman" w:eastAsia="標楷體" w:hAnsi="Times New Roman" w:cs="Times New Roman"/>
          <w:szCs w:val="24"/>
        </w:rPr>
        <w:t>offshore</w:t>
      </w:r>
      <w:r w:rsidRPr="00885A57">
        <w:rPr>
          <w:rFonts w:ascii="Times New Roman" w:eastAsia="標楷體" w:hAnsi="Times New Roman" w:cs="Times New Roman"/>
          <w:szCs w:val="24"/>
        </w:rPr>
        <w:t xml:space="preserve"> islands (50 townships), and areas with limited medical resources (73 townships), NHI beneficiaries who receive medical care in a mountainous region or an </w:t>
      </w:r>
      <w:r w:rsidR="00215840" w:rsidRPr="00885A57">
        <w:rPr>
          <w:rFonts w:ascii="Times New Roman" w:eastAsia="標楷體" w:hAnsi="Times New Roman" w:cs="Times New Roman"/>
          <w:szCs w:val="24"/>
        </w:rPr>
        <w:t>offshore</w:t>
      </w:r>
      <w:r w:rsidRPr="00885A57">
        <w:rPr>
          <w:rFonts w:ascii="Times New Roman" w:eastAsia="標楷體" w:hAnsi="Times New Roman" w:cs="Times New Roman"/>
          <w:szCs w:val="24"/>
        </w:rPr>
        <w:t xml:space="preserve"> island shall be exempt from </w:t>
      </w:r>
      <w:r w:rsidRPr="00885A57">
        <w:rPr>
          <w:rFonts w:ascii="Times New Roman" w:eastAsia="標楷體" w:hAnsi="Times New Roman" w:cs="Times New Roman"/>
          <w:szCs w:val="24"/>
        </w:rPr>
        <w:lastRenderedPageBreak/>
        <w:t>any copayment. People undergoing medical treatment in areas with limited medical resources enjoy a 20</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w:t>
      </w:r>
      <w:r w:rsidR="00DE095E">
        <w:rPr>
          <w:rFonts w:ascii="Times New Roman" w:eastAsia="標楷體" w:hAnsi="Times New Roman" w:cs="Times New Roman"/>
          <w:szCs w:val="24"/>
        </w:rPr>
        <w:t xml:space="preserve">discount on their </w:t>
      </w:r>
      <w:r w:rsidRPr="00885A57">
        <w:rPr>
          <w:rFonts w:ascii="Times New Roman" w:eastAsia="標楷體" w:hAnsi="Times New Roman" w:cs="Times New Roman"/>
          <w:szCs w:val="24"/>
        </w:rPr>
        <w:t xml:space="preserve">copayment. In both 2016 and 2017, a budget </w:t>
      </w:r>
      <w:r w:rsidR="00DE095E">
        <w:rPr>
          <w:rFonts w:ascii="Times New Roman" w:eastAsia="標楷體" w:hAnsi="Times New Roman" w:cs="Times New Roman"/>
          <w:szCs w:val="24"/>
        </w:rPr>
        <w:t xml:space="preserve">of </w:t>
      </w:r>
      <w:r w:rsidRPr="00885A57">
        <w:rPr>
          <w:rFonts w:ascii="Times New Roman" w:eastAsia="標楷體" w:hAnsi="Times New Roman" w:cs="Times New Roman"/>
          <w:szCs w:val="24"/>
        </w:rPr>
        <w:t>NT$800 million was allocated</w:t>
      </w:r>
      <w:r w:rsidR="00DE095E">
        <w:rPr>
          <w:rFonts w:ascii="Times New Roman" w:eastAsia="標楷體" w:hAnsi="Times New Roman" w:cs="Times New Roman"/>
          <w:szCs w:val="24"/>
        </w:rPr>
        <w:t xml:space="preserve"> that was </w:t>
      </w:r>
      <w:r w:rsidRPr="00885A57">
        <w:rPr>
          <w:rFonts w:ascii="Times New Roman" w:eastAsia="標楷體" w:hAnsi="Times New Roman" w:cs="Times New Roman"/>
          <w:szCs w:val="24"/>
        </w:rPr>
        <w:t xml:space="preserve">increased to NT$950 million in 2018. The Point Value guarantee policy has been adopted to improve medical services in hospitals with insufficient resources in specific areas; the policy subsidizes the floating point system by at most NT$1 per point for clinics and hospital services outpatient and inpatient undertaken, including those in pediatric, gynecological/obstetric, internal medicine, surgical, and 24-hour emergency services </w:t>
      </w:r>
      <w:r w:rsidR="00DE095E">
        <w:rPr>
          <w:rFonts w:ascii="Times New Roman" w:eastAsia="標楷體" w:hAnsi="Times New Roman" w:cs="Times New Roman"/>
          <w:szCs w:val="24"/>
        </w:rPr>
        <w:t>at</w:t>
      </w:r>
      <w:r w:rsidR="00DE095E"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these hospitals. The subsidy for each eligible hospital is NT$15 million at maximum</w:t>
      </w:r>
      <w:r w:rsidR="00DE095E">
        <w:rPr>
          <w:rFonts w:ascii="Times New Roman" w:eastAsia="標楷體" w:hAnsi="Times New Roman" w:cs="Times New Roman"/>
          <w:szCs w:val="24"/>
        </w:rPr>
        <w:t xml:space="preserve"> so as to improve </w:t>
      </w:r>
      <w:r w:rsidRPr="00885A57">
        <w:rPr>
          <w:rFonts w:ascii="Times New Roman" w:eastAsia="標楷體" w:hAnsi="Times New Roman" w:cs="Times New Roman"/>
          <w:szCs w:val="24"/>
        </w:rPr>
        <w:t xml:space="preserve">medical services and community-based preventive healthcare. In 2019, a total of 92 hospitals received subsidies. The government also encourages physicians, </w:t>
      </w:r>
      <w:r w:rsidR="007B311E">
        <w:rPr>
          <w:rFonts w:ascii="Times New Roman" w:eastAsia="標楷體" w:hAnsi="Times New Roman" w:cs="Times New Roman"/>
          <w:szCs w:val="24"/>
        </w:rPr>
        <w:t>practitioners</w:t>
      </w:r>
      <w:r w:rsidR="00DE095E">
        <w:rPr>
          <w:rFonts w:ascii="Times New Roman" w:eastAsia="標楷體" w:hAnsi="Times New Roman" w:cs="Times New Roman"/>
          <w:szCs w:val="24"/>
        </w:rPr>
        <w:t xml:space="preserve"> of </w:t>
      </w:r>
      <w:r w:rsidRPr="00885A57">
        <w:rPr>
          <w:rFonts w:ascii="Times New Roman" w:eastAsia="標楷體" w:hAnsi="Times New Roman" w:cs="Times New Roman"/>
          <w:szCs w:val="24"/>
        </w:rPr>
        <w:t>Chinese medicine</w:t>
      </w:r>
      <w:r w:rsidR="00DE095E">
        <w:rPr>
          <w:rFonts w:ascii="Times New Roman" w:eastAsia="標楷體" w:hAnsi="Times New Roman" w:cs="Times New Roman"/>
          <w:szCs w:val="24"/>
        </w:rPr>
        <w:t>,</w:t>
      </w:r>
      <w:r w:rsidRPr="00885A57">
        <w:rPr>
          <w:rFonts w:ascii="Times New Roman" w:eastAsia="標楷體" w:hAnsi="Times New Roman" w:cs="Times New Roman"/>
          <w:szCs w:val="24"/>
        </w:rPr>
        <w:t xml:space="preserve"> and dentists to establish clinics or provide healthcare service in mountainous areas, </w:t>
      </w:r>
      <w:r w:rsidR="00215840" w:rsidRPr="00885A57">
        <w:rPr>
          <w:rFonts w:ascii="Times New Roman" w:eastAsia="標楷體" w:hAnsi="Times New Roman" w:cs="Times New Roman"/>
          <w:szCs w:val="24"/>
        </w:rPr>
        <w:t>offshore</w:t>
      </w:r>
      <w:r w:rsidRPr="00885A57">
        <w:rPr>
          <w:rFonts w:ascii="Times New Roman" w:eastAsia="標楷體" w:hAnsi="Times New Roman" w:cs="Times New Roman"/>
          <w:szCs w:val="24"/>
        </w:rPr>
        <w:t xml:space="preserve"> islands, and areas with limited medical resources on a roving basis</w:t>
      </w:r>
      <w:r w:rsidRPr="00885A57">
        <w:rPr>
          <w:rFonts w:ascii="Times New Roman" w:eastAsia="標楷體" w:hAnsi="Times New Roman" w:cs="Times New Roman"/>
        </w:rPr>
        <w:t>.</w:t>
      </w:r>
      <w:bookmarkEnd w:id="161"/>
      <w:r w:rsidRPr="00885A57">
        <w:rPr>
          <w:rStyle w:val="ab"/>
          <w:rFonts w:ascii="Times New Roman" w:eastAsia="標楷體" w:hAnsi="Times New Roman" w:cs="Times New Roman"/>
        </w:rPr>
        <w:footnoteReference w:id="107"/>
      </w:r>
    </w:p>
    <w:p w14:paraId="1721D2F0" w14:textId="1F9C65B1" w:rsidR="00AE5BAB" w:rsidRPr="00885A57" w:rsidRDefault="00762B16" w:rsidP="006F04A1">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The </w:t>
      </w:r>
      <w:r w:rsidRPr="002153DE">
        <w:rPr>
          <w:rFonts w:ascii="Times New Roman" w:eastAsia="標楷體" w:hAnsi="Times New Roman" w:cs="Times New Roman"/>
          <w:iCs/>
          <w:szCs w:val="24"/>
        </w:rPr>
        <w:t>Rules of Medical Diagnosis and Treatment by Telecommunication</w:t>
      </w:r>
      <w:r w:rsidRPr="00885A57">
        <w:rPr>
          <w:rFonts w:ascii="Times New Roman" w:eastAsia="標楷體" w:hAnsi="Times New Roman" w:cs="Times New Roman"/>
          <w:szCs w:val="24"/>
        </w:rPr>
        <w:t xml:space="preserve"> were promulgated in 2018</w:t>
      </w:r>
      <w:r w:rsidR="007B311E">
        <w:rPr>
          <w:rFonts w:ascii="Times New Roman" w:eastAsia="標楷體" w:hAnsi="Times New Roman" w:cs="Times New Roman" w:hint="eastAsia"/>
          <w:szCs w:val="24"/>
        </w:rPr>
        <w:t>. T</w:t>
      </w:r>
      <w:r w:rsidR="007B311E">
        <w:rPr>
          <w:rFonts w:ascii="Times New Roman" w:eastAsia="標楷體" w:hAnsi="Times New Roman" w:cs="Times New Roman"/>
          <w:szCs w:val="24"/>
        </w:rPr>
        <w:t xml:space="preserve">hese specify </w:t>
      </w:r>
      <w:r w:rsidRPr="00885A57">
        <w:rPr>
          <w:rFonts w:ascii="Times New Roman" w:eastAsia="標楷體" w:hAnsi="Times New Roman" w:cs="Times New Roman"/>
          <w:szCs w:val="24"/>
        </w:rPr>
        <w:t>that citizens in mountainous</w:t>
      </w:r>
      <w:r w:rsidR="00DE095E">
        <w:rPr>
          <w:rFonts w:ascii="Times New Roman" w:eastAsia="標楷體" w:hAnsi="Times New Roman" w:cs="Times New Roman"/>
          <w:szCs w:val="24"/>
        </w:rPr>
        <w:t xml:space="preserve"> areas</w:t>
      </w:r>
      <w:r w:rsidRPr="00885A57">
        <w:rPr>
          <w:rFonts w:ascii="Times New Roman" w:eastAsia="標楷體" w:hAnsi="Times New Roman" w:cs="Times New Roman"/>
          <w:szCs w:val="24"/>
        </w:rPr>
        <w:t xml:space="preserve">, </w:t>
      </w:r>
      <w:r w:rsidR="00215840" w:rsidRPr="00885A57">
        <w:rPr>
          <w:rFonts w:ascii="Times New Roman" w:eastAsia="標楷體" w:hAnsi="Times New Roman" w:cs="Times New Roman"/>
          <w:szCs w:val="24"/>
        </w:rPr>
        <w:t>offshore</w:t>
      </w:r>
      <w:r w:rsidRPr="00885A57">
        <w:rPr>
          <w:rFonts w:ascii="Times New Roman" w:eastAsia="標楷體" w:hAnsi="Times New Roman" w:cs="Times New Roman"/>
          <w:szCs w:val="24"/>
        </w:rPr>
        <w:t xml:space="preserve"> islands</w:t>
      </w:r>
      <w:r w:rsidR="00DE095E">
        <w:rPr>
          <w:rFonts w:ascii="Times New Roman" w:eastAsia="標楷體" w:hAnsi="Times New Roman" w:cs="Times New Roman"/>
          <w:szCs w:val="24"/>
        </w:rPr>
        <w:t>,</w:t>
      </w:r>
      <w:r w:rsidRPr="00885A57">
        <w:rPr>
          <w:rFonts w:ascii="Times New Roman" w:eastAsia="標楷體" w:hAnsi="Times New Roman" w:cs="Times New Roman"/>
          <w:szCs w:val="24"/>
        </w:rPr>
        <w:t xml:space="preserve"> and remote areas </w:t>
      </w:r>
      <w:r w:rsidR="007B311E">
        <w:rPr>
          <w:rFonts w:ascii="Times New Roman" w:eastAsia="標楷體" w:hAnsi="Times New Roman" w:cs="Times New Roman"/>
          <w:szCs w:val="24"/>
        </w:rPr>
        <w:t xml:space="preserve">as well as </w:t>
      </w:r>
      <w:r w:rsidRPr="00885A57">
        <w:rPr>
          <w:rFonts w:ascii="Times New Roman" w:eastAsia="標楷體" w:hAnsi="Times New Roman" w:cs="Times New Roman"/>
          <w:szCs w:val="24"/>
        </w:rPr>
        <w:t xml:space="preserve">five types of patients in special circumstances may receive </w:t>
      </w:r>
      <w:r w:rsidR="00DE095E">
        <w:rPr>
          <w:rFonts w:ascii="Times New Roman" w:eastAsia="標楷體" w:hAnsi="Times New Roman" w:cs="Times New Roman"/>
          <w:szCs w:val="24"/>
        </w:rPr>
        <w:t>an e-</w:t>
      </w:r>
      <w:r w:rsidRPr="00885A57">
        <w:rPr>
          <w:rFonts w:ascii="Times New Roman" w:eastAsia="標楷體" w:hAnsi="Times New Roman" w:cs="Times New Roman"/>
          <w:szCs w:val="24"/>
        </w:rPr>
        <w:t xml:space="preserve">diagnosis and treatment. The </w:t>
      </w:r>
      <w:r w:rsidR="00DE095E" w:rsidRPr="00885A57">
        <w:rPr>
          <w:rFonts w:ascii="Times New Roman" w:eastAsia="標楷體" w:hAnsi="Times New Roman" w:cs="Times New Roman"/>
          <w:szCs w:val="24"/>
        </w:rPr>
        <w:t>MO</w:t>
      </w:r>
      <w:r w:rsidR="00DE095E">
        <w:rPr>
          <w:rFonts w:ascii="Times New Roman" w:eastAsia="標楷體" w:hAnsi="Times New Roman" w:cs="Times New Roman"/>
          <w:szCs w:val="24"/>
        </w:rPr>
        <w:t>HW</w:t>
      </w:r>
      <w:r w:rsidR="00DE095E"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launched the Support Project of Medical Centers or Emergency Responsibility Hospitals to ensure </w:t>
      </w:r>
      <w:r w:rsidR="009F071E">
        <w:rPr>
          <w:rFonts w:ascii="Times New Roman" w:eastAsia="標楷體" w:hAnsi="Times New Roman" w:cs="Times New Roman"/>
          <w:szCs w:val="24"/>
        </w:rPr>
        <w:t xml:space="preserve">the presence of </w:t>
      </w:r>
      <w:r w:rsidRPr="00885A57">
        <w:rPr>
          <w:rFonts w:ascii="Times New Roman" w:eastAsia="標楷體" w:hAnsi="Times New Roman" w:cs="Times New Roman"/>
          <w:szCs w:val="24"/>
        </w:rPr>
        <w:t xml:space="preserve">emergency and critical illness physicians and </w:t>
      </w:r>
      <w:r w:rsidR="009F071E">
        <w:rPr>
          <w:rFonts w:ascii="Times New Roman" w:eastAsia="標楷體" w:hAnsi="Times New Roman" w:cs="Times New Roman"/>
          <w:szCs w:val="24"/>
        </w:rPr>
        <w:t xml:space="preserve">to improve </w:t>
      </w:r>
      <w:r w:rsidRPr="00885A57">
        <w:rPr>
          <w:rFonts w:ascii="Times New Roman" w:eastAsia="標楷體" w:hAnsi="Times New Roman" w:cs="Times New Roman"/>
          <w:szCs w:val="24"/>
        </w:rPr>
        <w:t xml:space="preserve">medical </w:t>
      </w:r>
      <w:r w:rsidRPr="00885A57">
        <w:rPr>
          <w:rFonts w:ascii="Times New Roman" w:eastAsia="標楷體" w:hAnsi="Times New Roman" w:cs="Times New Roman"/>
          <w:szCs w:val="24"/>
        </w:rPr>
        <w:lastRenderedPageBreak/>
        <w:t xml:space="preserve">capacity in </w:t>
      </w:r>
      <w:r w:rsidR="009F071E">
        <w:rPr>
          <w:rFonts w:ascii="Times New Roman" w:eastAsia="標楷體" w:hAnsi="Times New Roman" w:cs="Times New Roman"/>
          <w:szCs w:val="24"/>
        </w:rPr>
        <w:t>such regions</w:t>
      </w:r>
      <w:r w:rsidRPr="00885A57">
        <w:rPr>
          <w:rFonts w:ascii="Times New Roman" w:eastAsia="標楷體" w:hAnsi="Times New Roman" w:cs="Times New Roman"/>
          <w:szCs w:val="24"/>
        </w:rPr>
        <w:t>.</w:t>
      </w:r>
    </w:p>
    <w:p w14:paraId="1AA85481" w14:textId="697A46EC" w:rsidR="00D958C4" w:rsidRPr="00885A57" w:rsidRDefault="00762B16" w:rsidP="001A2139">
      <w:pPr>
        <w:pStyle w:val="a7"/>
        <w:numPr>
          <w:ilvl w:val="0"/>
          <w:numId w:val="45"/>
        </w:numPr>
        <w:spacing w:after="120" w:line="360" w:lineRule="auto"/>
        <w:ind w:leftChars="0" w:left="567" w:hanging="567"/>
        <w:jc w:val="both"/>
        <w:rPr>
          <w:rFonts w:ascii="Times New Roman" w:eastAsia="標楷體" w:hAnsi="Times New Roman" w:cs="Times New Roman"/>
        </w:rPr>
      </w:pPr>
      <w:bookmarkStart w:id="162" w:name="_Ref38033170"/>
      <w:r w:rsidRPr="00885A57">
        <w:rPr>
          <w:rFonts w:ascii="Times New Roman" w:eastAsia="標楷體" w:hAnsi="Times New Roman" w:cs="Times New Roman"/>
        </w:rPr>
        <w:t xml:space="preserve">To improve health care accessibility, the MOHW launched the Integrated Home Health Care Project (Table 25.1). Aside from expanding eligibility for home care and strengthening case management, the new program focuses on promoting cooperation between caregiving teams within communities. Once these institutions/service groups fully understand the needs of patients, they will provide appropriate care depending on </w:t>
      </w:r>
      <w:r w:rsidR="004400BC">
        <w:rPr>
          <w:rFonts w:ascii="Times New Roman" w:eastAsia="標楷體" w:hAnsi="Times New Roman" w:cs="Times New Roman"/>
        </w:rPr>
        <w:t xml:space="preserve">each </w:t>
      </w:r>
      <w:r w:rsidRPr="00885A57">
        <w:rPr>
          <w:rFonts w:ascii="Times New Roman" w:eastAsia="標楷體" w:hAnsi="Times New Roman" w:cs="Times New Roman"/>
        </w:rPr>
        <w:t>patient</w:t>
      </w:r>
      <w:r w:rsidR="004400BC">
        <w:rPr>
          <w:rFonts w:ascii="Times New Roman" w:eastAsia="標楷體" w:hAnsi="Times New Roman" w:cs="Times New Roman"/>
        </w:rPr>
        <w:t>’s</w:t>
      </w:r>
      <w:r w:rsidRPr="00885A57">
        <w:rPr>
          <w:rFonts w:ascii="Times New Roman" w:eastAsia="標楷體" w:hAnsi="Times New Roman" w:cs="Times New Roman"/>
        </w:rPr>
        <w:t xml:space="preserve"> situation, and all treatment records will be uploaded to the </w:t>
      </w:r>
      <w:r w:rsidR="004400BC">
        <w:rPr>
          <w:rFonts w:ascii="Times New Roman" w:eastAsia="標楷體" w:hAnsi="Times New Roman" w:cs="Times New Roman"/>
        </w:rPr>
        <w:t>e</w:t>
      </w:r>
      <w:r w:rsidRPr="00885A57">
        <w:rPr>
          <w:rFonts w:ascii="Times New Roman" w:eastAsia="標楷體" w:hAnsi="Times New Roman" w:cs="Times New Roman"/>
        </w:rPr>
        <w:t xml:space="preserve">-referral platform to improve coordination between medical service groups. The ministry hosts the Dental Home Care Plan (Table 25.2), providing dental home care for long-term bedridden patients with medium-to-severe disabilities and those meeting the subsidization requirements stated in the </w:t>
      </w:r>
      <w:r w:rsidRPr="002153DE">
        <w:rPr>
          <w:rFonts w:ascii="Times New Roman" w:eastAsia="標楷體" w:hAnsi="Times New Roman" w:cs="Times New Roman"/>
          <w:iCs/>
        </w:rPr>
        <w:t xml:space="preserve">Regulations Governing Subsidies for </w:t>
      </w:r>
      <w:r w:rsidR="00187CFF" w:rsidRPr="002153DE">
        <w:rPr>
          <w:rFonts w:ascii="Times New Roman" w:eastAsia="標楷體" w:hAnsi="Times New Roman" w:cs="Times New Roman"/>
          <w:iCs/>
        </w:rPr>
        <w:t>Disabled Elders</w:t>
      </w:r>
      <w:r w:rsidRPr="002153DE">
        <w:rPr>
          <w:rFonts w:ascii="Times New Roman" w:eastAsia="標楷體" w:hAnsi="Times New Roman" w:cs="Times New Roman"/>
          <w:iCs/>
        </w:rPr>
        <w:t xml:space="preserve"> Adults Receiving Long-Term Care Services</w:t>
      </w:r>
      <w:r w:rsidRPr="00885A57">
        <w:rPr>
          <w:rFonts w:ascii="Times New Roman" w:eastAsia="標楷體" w:hAnsi="Times New Roman" w:cs="Times New Roman"/>
        </w:rPr>
        <w:t xml:space="preserve">. The MOHW has launched the General Home Care Plan (Table 25.3) to help homebound patients who experience difficulty leaving the house and are confirmed by physicians to exhibit medical needs </w:t>
      </w:r>
      <w:r w:rsidR="001730BA">
        <w:rPr>
          <w:rFonts w:ascii="Times New Roman" w:eastAsia="標楷體" w:hAnsi="Times New Roman" w:cs="Times New Roman"/>
        </w:rPr>
        <w:t xml:space="preserve">necessitating </w:t>
      </w:r>
      <w:r w:rsidRPr="00885A57">
        <w:rPr>
          <w:rFonts w:ascii="Times New Roman" w:eastAsia="標楷體" w:hAnsi="Times New Roman" w:cs="Times New Roman"/>
        </w:rPr>
        <w:t xml:space="preserve">home health care. The Community Rehabilitation (Home Care) Plan for Patients with Mental Health Conditions (Table 25.4) has been implemented to provide home-based physician treatment and other </w:t>
      </w:r>
      <w:r w:rsidR="001730BA">
        <w:rPr>
          <w:rFonts w:ascii="Times New Roman" w:eastAsia="標楷體" w:hAnsi="Times New Roman" w:cs="Times New Roman"/>
        </w:rPr>
        <w:t xml:space="preserve">professional </w:t>
      </w:r>
      <w:r w:rsidRPr="00885A57">
        <w:rPr>
          <w:rFonts w:ascii="Times New Roman" w:eastAsia="標楷體" w:hAnsi="Times New Roman" w:cs="Times New Roman"/>
        </w:rPr>
        <w:t>psychiatric treatment for homebound patients with chronic mental disorders classified as catastrophic illnesses.</w:t>
      </w:r>
      <w:bookmarkEnd w:id="162"/>
    </w:p>
    <w:p w14:paraId="46BE85F8" w14:textId="13E1DBE3" w:rsidR="00F07B9B" w:rsidRPr="00885A57" w:rsidRDefault="00762B16" w:rsidP="001A2139">
      <w:pPr>
        <w:spacing w:after="120" w:line="360" w:lineRule="auto"/>
        <w:rPr>
          <w:rFonts w:ascii="Times New Roman" w:eastAsia="標楷體" w:hAnsi="Times New Roman" w:cs="Times New Roman"/>
          <w:szCs w:val="28"/>
        </w:rPr>
      </w:pPr>
      <w:r w:rsidRPr="00885A57">
        <w:rPr>
          <w:rFonts w:ascii="Times New Roman" w:eastAsia="標楷體" w:hAnsi="Times New Roman" w:cs="Times New Roman"/>
          <w:szCs w:val="24"/>
        </w:rPr>
        <w:t>C. Rehabilitation service</w:t>
      </w:r>
    </w:p>
    <w:p w14:paraId="5994CF7A" w14:textId="7F6333A8" w:rsidR="00F07B9B" w:rsidRPr="00885A57" w:rsidRDefault="00762B16" w:rsidP="006F04A1">
      <w:pPr>
        <w:pStyle w:val="a7"/>
        <w:numPr>
          <w:ilvl w:val="0"/>
          <w:numId w:val="45"/>
        </w:numPr>
        <w:spacing w:after="120" w:line="360" w:lineRule="auto"/>
        <w:ind w:leftChars="0" w:left="567" w:hanging="567"/>
        <w:jc w:val="both"/>
        <w:rPr>
          <w:rFonts w:ascii="Times New Roman" w:eastAsia="標楷體" w:hAnsi="Times New Roman" w:cs="Times New Roman"/>
        </w:rPr>
      </w:pPr>
      <w:bookmarkStart w:id="163" w:name="_Ref55914847"/>
      <w:r w:rsidRPr="00885A57">
        <w:rPr>
          <w:rFonts w:ascii="Times New Roman" w:eastAsia="標楷體" w:hAnsi="Times New Roman" w:cs="Times New Roman"/>
          <w:szCs w:val="24"/>
        </w:rPr>
        <w:t xml:space="preserve">Concerning long-term care services, Taiwan has introduced restorative care and overall care instructions according to the physical and mental status and </w:t>
      </w:r>
      <w:r w:rsidR="00C1740D">
        <w:rPr>
          <w:rFonts w:ascii="Times New Roman" w:eastAsia="標楷體" w:hAnsi="Times New Roman" w:cs="Times New Roman"/>
          <w:szCs w:val="24"/>
        </w:rPr>
        <w:lastRenderedPageBreak/>
        <w:t xml:space="preserve">motivation </w:t>
      </w:r>
      <w:r w:rsidRPr="00885A57">
        <w:rPr>
          <w:rFonts w:ascii="Times New Roman" w:eastAsia="標楷體" w:hAnsi="Times New Roman" w:cs="Times New Roman"/>
          <w:szCs w:val="24"/>
        </w:rPr>
        <w:t xml:space="preserve">of </w:t>
      </w:r>
      <w:r w:rsidR="002F0020">
        <w:rPr>
          <w:rFonts w:ascii="Times New Roman" w:eastAsia="標楷體" w:hAnsi="Times New Roman" w:cs="Times New Roman"/>
          <w:szCs w:val="24"/>
        </w:rPr>
        <w:t>people with disabilities</w:t>
      </w:r>
      <w:r w:rsidR="00C1740D">
        <w:rPr>
          <w:rFonts w:ascii="Times New Roman" w:eastAsia="標楷體" w:hAnsi="Times New Roman" w:cs="Times New Roman"/>
          <w:szCs w:val="24"/>
        </w:rPr>
        <w:t>. A</w:t>
      </w:r>
      <w:r w:rsidRPr="00885A57">
        <w:rPr>
          <w:rFonts w:ascii="Times New Roman" w:eastAsia="標楷體" w:hAnsi="Times New Roman" w:cs="Times New Roman"/>
          <w:szCs w:val="24"/>
        </w:rPr>
        <w:t xml:space="preserve"> pickup service </w:t>
      </w:r>
      <w:r w:rsidR="00C1740D">
        <w:rPr>
          <w:rFonts w:ascii="Times New Roman" w:eastAsia="標楷體" w:hAnsi="Times New Roman" w:cs="Times New Roman"/>
          <w:szCs w:val="24"/>
        </w:rPr>
        <w:t xml:space="preserve">for </w:t>
      </w:r>
      <w:r w:rsidR="002F0020">
        <w:rPr>
          <w:rFonts w:ascii="Times New Roman" w:eastAsia="標楷體" w:hAnsi="Times New Roman" w:cs="Times New Roman"/>
          <w:szCs w:val="24"/>
        </w:rPr>
        <w:t>people with disabilities</w:t>
      </w:r>
      <w:r w:rsidR="00C1740D">
        <w:rPr>
          <w:rFonts w:ascii="Times New Roman" w:eastAsia="標楷體" w:hAnsi="Times New Roman" w:cs="Times New Roman"/>
          <w:szCs w:val="24"/>
        </w:rPr>
        <w:t xml:space="preserve"> to travel </w:t>
      </w:r>
      <w:r w:rsidRPr="00885A57">
        <w:rPr>
          <w:rFonts w:ascii="Times New Roman" w:eastAsia="標楷體" w:hAnsi="Times New Roman" w:cs="Times New Roman"/>
          <w:szCs w:val="24"/>
        </w:rPr>
        <w:t xml:space="preserve">between </w:t>
      </w:r>
      <w:r w:rsidR="00C1740D">
        <w:rPr>
          <w:rFonts w:ascii="Times New Roman" w:eastAsia="標楷體" w:hAnsi="Times New Roman" w:cs="Times New Roman"/>
          <w:szCs w:val="24"/>
        </w:rPr>
        <w:t xml:space="preserve">their </w:t>
      </w:r>
      <w:r w:rsidRPr="00885A57">
        <w:rPr>
          <w:rFonts w:ascii="Times New Roman" w:eastAsia="標楷體" w:hAnsi="Times New Roman" w:cs="Times New Roman"/>
          <w:szCs w:val="24"/>
        </w:rPr>
        <w:t>home and the hospital for medical care or rehabilitation</w:t>
      </w:r>
      <w:r w:rsidR="00C1740D">
        <w:rPr>
          <w:rFonts w:ascii="Times New Roman" w:eastAsia="標楷體" w:hAnsi="Times New Roman" w:cs="Times New Roman"/>
          <w:szCs w:val="24"/>
        </w:rPr>
        <w:t xml:space="preserve"> is available</w:t>
      </w:r>
      <w:r w:rsidRPr="00885A57">
        <w:rPr>
          <w:rFonts w:ascii="Times New Roman" w:eastAsia="標楷體" w:hAnsi="Times New Roman" w:cs="Times New Roman"/>
          <w:szCs w:val="24"/>
        </w:rPr>
        <w:t xml:space="preserve">. Such services complement NHI medical services, thereby satisfying the rehabilitation needs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living in rural areas.</w:t>
      </w:r>
      <w:bookmarkEnd w:id="163"/>
      <w:r w:rsidRPr="00885A57">
        <w:rPr>
          <w:rStyle w:val="ab"/>
          <w:rFonts w:ascii="Times New Roman" w:eastAsia="標楷體" w:hAnsi="Times New Roman" w:cs="Times New Roman"/>
        </w:rPr>
        <w:footnoteReference w:id="108"/>
      </w:r>
    </w:p>
    <w:p w14:paraId="3754605D" w14:textId="47764F52" w:rsidR="008F4C0B" w:rsidRPr="00885A57" w:rsidRDefault="00762B16"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NHI provides rehabilitation service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to improve their health and help them achieved restored or enhanced physiological functions. </w:t>
      </w:r>
      <w:r w:rsidR="00C1740D">
        <w:rPr>
          <w:rFonts w:ascii="Times New Roman" w:eastAsia="標楷體" w:hAnsi="Times New Roman" w:cs="Times New Roman"/>
          <w:szCs w:val="24"/>
        </w:rPr>
        <w:t xml:space="preserve">NHI records show that in 2018, </w:t>
      </w:r>
      <w:r w:rsidRPr="00885A57">
        <w:rPr>
          <w:rFonts w:ascii="Times New Roman" w:eastAsia="標楷體" w:hAnsi="Times New Roman" w:cs="Times New Roman"/>
          <w:szCs w:val="24"/>
        </w:rPr>
        <w:t xml:space="preserve">400,000 out of 1.2 million persons registered </w:t>
      </w:r>
      <w:r w:rsidR="00C1740D">
        <w:rPr>
          <w:rFonts w:ascii="Times New Roman" w:eastAsia="標楷體" w:hAnsi="Times New Roman" w:cs="Times New Roman"/>
          <w:szCs w:val="24"/>
        </w:rPr>
        <w:t xml:space="preserve">as having a disability </w:t>
      </w:r>
      <w:r w:rsidRPr="00885A57">
        <w:rPr>
          <w:rFonts w:ascii="Times New Roman" w:eastAsia="標楷體" w:hAnsi="Times New Roman" w:cs="Times New Roman"/>
          <w:szCs w:val="24"/>
        </w:rPr>
        <w:t>received rehabilitation (33</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w:t>
      </w:r>
      <w:r w:rsidR="00C1740D">
        <w:rPr>
          <w:rFonts w:ascii="Times New Roman" w:eastAsia="標楷體" w:hAnsi="Times New Roman" w:cs="Times New Roman"/>
          <w:szCs w:val="24"/>
        </w:rPr>
        <w:t xml:space="preserve"> services</w:t>
      </w:r>
      <w:r w:rsidRPr="00885A57">
        <w:rPr>
          <w:rFonts w:ascii="Times New Roman" w:eastAsia="標楷體" w:hAnsi="Times New Roman" w:cs="Times New Roman"/>
          <w:szCs w:val="24"/>
        </w:rPr>
        <w:t xml:space="preserve">; </w:t>
      </w:r>
      <w:r w:rsidR="00C1740D">
        <w:rPr>
          <w:rFonts w:ascii="Times New Roman" w:eastAsia="標楷體" w:hAnsi="Times New Roman" w:cs="Times New Roman"/>
          <w:szCs w:val="24"/>
        </w:rPr>
        <w:t xml:space="preserve">in </w:t>
      </w:r>
      <w:r w:rsidRPr="00885A57">
        <w:rPr>
          <w:rFonts w:ascii="Times New Roman" w:eastAsia="標楷體" w:hAnsi="Times New Roman" w:cs="Times New Roman"/>
          <w:szCs w:val="24"/>
        </w:rPr>
        <w:t>2019</w:t>
      </w:r>
      <w:r w:rsidR="00C1740D">
        <w:rPr>
          <w:rFonts w:ascii="Times New Roman" w:eastAsia="標楷體" w:hAnsi="Times New Roman" w:cs="Times New Roman"/>
          <w:szCs w:val="24"/>
        </w:rPr>
        <w:t>,</w:t>
      </w:r>
      <w:r w:rsidRPr="00885A57">
        <w:rPr>
          <w:rFonts w:ascii="Times New Roman" w:eastAsia="標楷體" w:hAnsi="Times New Roman" w:cs="Times New Roman"/>
          <w:szCs w:val="24"/>
        </w:rPr>
        <w:t xml:space="preserve"> </w:t>
      </w:r>
      <w:r w:rsidR="00C1740D">
        <w:rPr>
          <w:rFonts w:ascii="Times New Roman" w:eastAsia="標楷體" w:hAnsi="Times New Roman" w:cs="Times New Roman"/>
          <w:szCs w:val="24"/>
        </w:rPr>
        <w:t xml:space="preserve">this figured increased to </w:t>
      </w:r>
      <w:r w:rsidRPr="00885A57">
        <w:rPr>
          <w:rFonts w:ascii="Times New Roman" w:eastAsia="標楷體" w:hAnsi="Times New Roman" w:cs="Times New Roman"/>
          <w:szCs w:val="24"/>
        </w:rPr>
        <w:t xml:space="preserve">426,000 out of 1.22 million registered </w:t>
      </w:r>
      <w:r w:rsidR="00C1740D">
        <w:rPr>
          <w:rFonts w:ascii="Times New Roman" w:eastAsia="標楷體" w:hAnsi="Times New Roman" w:cs="Times New Roman"/>
          <w:szCs w:val="24"/>
        </w:rPr>
        <w:t xml:space="preserve">persons </w:t>
      </w:r>
      <w:r w:rsidRPr="00885A57">
        <w:rPr>
          <w:rFonts w:ascii="Times New Roman" w:eastAsia="標楷體" w:hAnsi="Times New Roman" w:cs="Times New Roman"/>
          <w:szCs w:val="24"/>
        </w:rPr>
        <w:t>(34.9</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w:t>
      </w:r>
    </w:p>
    <w:p w14:paraId="3B018E80" w14:textId="1495A5D1" w:rsidR="00D07FC7" w:rsidRPr="00885A57" w:rsidRDefault="00762B16" w:rsidP="001A2139">
      <w:pPr>
        <w:spacing w:after="120" w:line="360" w:lineRule="auto"/>
        <w:rPr>
          <w:rFonts w:ascii="Times New Roman" w:eastAsia="標楷體" w:hAnsi="Times New Roman" w:cs="Times New Roman"/>
          <w:szCs w:val="28"/>
        </w:rPr>
      </w:pPr>
      <w:r w:rsidRPr="00885A57">
        <w:rPr>
          <w:rFonts w:ascii="Times New Roman" w:eastAsia="標楷體" w:hAnsi="Times New Roman" w:cs="Times New Roman"/>
          <w:szCs w:val="24"/>
        </w:rPr>
        <w:t xml:space="preserve">D.  Right to </w:t>
      </w:r>
      <w:r w:rsidR="00887598">
        <w:rPr>
          <w:rFonts w:ascii="Times New Roman" w:eastAsia="標楷體" w:hAnsi="Times New Roman" w:cs="Times New Roman"/>
          <w:szCs w:val="24"/>
        </w:rPr>
        <w:t xml:space="preserve">equal </w:t>
      </w:r>
      <w:r w:rsidRPr="00885A57">
        <w:rPr>
          <w:rFonts w:ascii="Times New Roman" w:eastAsia="標楷體" w:hAnsi="Times New Roman" w:cs="Times New Roman"/>
          <w:szCs w:val="24"/>
        </w:rPr>
        <w:t>insurance</w:t>
      </w:r>
      <w:r w:rsidR="00887598">
        <w:rPr>
          <w:rFonts w:ascii="Times New Roman" w:eastAsia="標楷體" w:hAnsi="Times New Roman" w:cs="Times New Roman"/>
          <w:szCs w:val="24"/>
        </w:rPr>
        <w:t xml:space="preserve"> coverage</w:t>
      </w:r>
    </w:p>
    <w:p w14:paraId="232C1F15" w14:textId="1BC1A0FB" w:rsidR="00420BF6" w:rsidRPr="00885A57" w:rsidRDefault="00762B16" w:rsidP="006F04A1">
      <w:pPr>
        <w:pStyle w:val="a7"/>
        <w:numPr>
          <w:ilvl w:val="0"/>
          <w:numId w:val="45"/>
        </w:numPr>
        <w:spacing w:after="120" w:line="360" w:lineRule="auto"/>
        <w:ind w:leftChars="0" w:left="567" w:hanging="567"/>
        <w:jc w:val="both"/>
        <w:rPr>
          <w:rFonts w:ascii="Times New Roman" w:eastAsia="標楷體" w:hAnsi="Times New Roman" w:cs="Times New Roman"/>
        </w:rPr>
      </w:pPr>
      <w:bookmarkStart w:id="164" w:name="_Ref55914605"/>
      <w:r w:rsidRPr="00885A57">
        <w:rPr>
          <w:rFonts w:ascii="Times New Roman" w:eastAsia="標楷體" w:hAnsi="Times New Roman" w:cs="Times New Roman"/>
        </w:rPr>
        <w:t xml:space="preserve">The FSC </w:t>
      </w:r>
      <w:r w:rsidR="00887598">
        <w:rPr>
          <w:rFonts w:ascii="Times New Roman" w:eastAsia="標楷體" w:hAnsi="Times New Roman" w:cs="Times New Roman"/>
        </w:rPr>
        <w:t xml:space="preserve">requires that </w:t>
      </w:r>
      <w:r w:rsidRPr="00885A57">
        <w:rPr>
          <w:rFonts w:ascii="Times New Roman" w:eastAsia="標楷體" w:hAnsi="Times New Roman" w:cs="Times New Roman"/>
        </w:rPr>
        <w:t xml:space="preserve">insurance companies </w:t>
      </w:r>
      <w:r w:rsidR="00887598">
        <w:rPr>
          <w:rFonts w:ascii="Times New Roman" w:eastAsia="標楷體" w:hAnsi="Times New Roman" w:cs="Times New Roman"/>
        </w:rPr>
        <w:t xml:space="preserve">may not </w:t>
      </w:r>
      <w:r w:rsidRPr="00885A57">
        <w:rPr>
          <w:rFonts w:ascii="Times New Roman" w:eastAsia="標楷體" w:hAnsi="Times New Roman" w:cs="Times New Roman"/>
        </w:rPr>
        <w:t xml:space="preserve">avoid </w:t>
      </w:r>
      <w:r w:rsidR="00887598">
        <w:rPr>
          <w:rFonts w:ascii="Times New Roman" w:eastAsia="標楷體" w:hAnsi="Times New Roman" w:cs="Times New Roman"/>
        </w:rPr>
        <w:t xml:space="preserve">soliciting </w:t>
      </w:r>
      <w:r w:rsidRPr="00885A57">
        <w:rPr>
          <w:rFonts w:ascii="Times New Roman" w:eastAsia="標楷體" w:hAnsi="Times New Roman" w:cs="Times New Roman"/>
        </w:rPr>
        <w:t xml:space="preserve">and </w:t>
      </w:r>
      <w:r w:rsidR="00887598">
        <w:rPr>
          <w:rFonts w:ascii="Times New Roman" w:eastAsia="標楷體" w:hAnsi="Times New Roman" w:cs="Times New Roman"/>
        </w:rPr>
        <w:t xml:space="preserve">granting policies to </w:t>
      </w:r>
      <w:r w:rsidRPr="00885A57">
        <w:rPr>
          <w:rFonts w:ascii="Times New Roman" w:eastAsia="標楷體" w:hAnsi="Times New Roman" w:cs="Times New Roman"/>
        </w:rPr>
        <w:t>people with disabilities</w:t>
      </w:r>
      <w:r w:rsidR="00887598">
        <w:rPr>
          <w:rFonts w:ascii="Times New Roman" w:eastAsia="標楷體" w:hAnsi="Times New Roman" w:cs="Times New Roman"/>
        </w:rPr>
        <w:t xml:space="preserve"> without cause</w:t>
      </w:r>
      <w:r w:rsidRPr="00885A57">
        <w:rPr>
          <w:rFonts w:ascii="Times New Roman" w:eastAsia="標楷體" w:hAnsi="Times New Roman" w:cs="Times New Roman"/>
        </w:rPr>
        <w:t xml:space="preserve">. The </w:t>
      </w:r>
      <w:r w:rsidRPr="002153DE">
        <w:rPr>
          <w:rFonts w:ascii="Times New Roman" w:eastAsia="標楷體" w:hAnsi="Times New Roman" w:cs="Times New Roman"/>
          <w:iCs/>
        </w:rPr>
        <w:t>Regulations Governing Business Solicitation, Policy Underwriting, and Claims Adjusting of Insurance Enterprises</w:t>
      </w:r>
      <w:r w:rsidRPr="00885A57">
        <w:rPr>
          <w:rFonts w:ascii="Times New Roman" w:eastAsia="標楷體" w:hAnsi="Times New Roman" w:cs="Times New Roman"/>
        </w:rPr>
        <w:t xml:space="preserve"> specify that when handling policy underwriting, </w:t>
      </w:r>
      <w:r w:rsidR="002F0020">
        <w:rPr>
          <w:rFonts w:ascii="Times New Roman" w:eastAsia="標楷體" w:hAnsi="Times New Roman" w:cs="Times New Roman"/>
        </w:rPr>
        <w:t>t</w:t>
      </w:r>
      <w:r w:rsidRPr="00885A57">
        <w:rPr>
          <w:rFonts w:ascii="Times New Roman" w:eastAsia="標楷體" w:hAnsi="Times New Roman" w:cs="Times New Roman"/>
        </w:rPr>
        <w:t>he operating procedure for evaluating risks and the calculation and collection of insurance premiums shall be based on actuarial science and statistical data. The insurance enterprise may not treat a specific applicant or policyholder unfairly because of his or her disability. Those violating said regulation are subject to a fine or correction order.</w:t>
      </w:r>
      <w:bookmarkEnd w:id="164"/>
      <w:r w:rsidRPr="00885A57">
        <w:rPr>
          <w:rFonts w:ascii="Times New Roman" w:eastAsia="標楷體" w:hAnsi="Times New Roman" w:cs="Times New Roman"/>
          <w:vertAlign w:val="superscript"/>
        </w:rPr>
        <w:footnoteReference w:id="109"/>
      </w:r>
    </w:p>
    <w:p w14:paraId="6EB12252" w14:textId="4173C187" w:rsidR="006031CA" w:rsidRPr="00885A57" w:rsidRDefault="00762B16"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rPr>
        <w:lastRenderedPageBreak/>
        <w:t>The FSC continues to instruct and encourage insurance companies to cover people with disabilities through the following strategies:</w:t>
      </w:r>
    </w:p>
    <w:p w14:paraId="70502D0B" w14:textId="0DF3E4BF" w:rsidR="00762B16" w:rsidRPr="00885A57" w:rsidRDefault="00762B16" w:rsidP="001A2139">
      <w:pPr>
        <w:pStyle w:val="a7"/>
        <w:numPr>
          <w:ilvl w:val="0"/>
          <w:numId w:val="26"/>
        </w:numPr>
        <w:spacing w:after="120" w:line="360" w:lineRule="auto"/>
        <w:ind w:leftChars="0"/>
        <w:jc w:val="both"/>
        <w:rPr>
          <w:rFonts w:ascii="Times New Roman" w:eastAsia="標楷體" w:hAnsi="Times New Roman" w:cs="Times New Roman"/>
        </w:rPr>
      </w:pPr>
      <w:r w:rsidRPr="00885A57">
        <w:rPr>
          <w:rFonts w:ascii="Times New Roman" w:eastAsia="標楷體" w:hAnsi="Times New Roman" w:cs="Times New Roman"/>
        </w:rPr>
        <w:t xml:space="preserve">In 2017, the </w:t>
      </w:r>
      <w:r w:rsidR="00244BFA">
        <w:rPr>
          <w:rFonts w:ascii="Times New Roman" w:eastAsia="標楷體" w:hAnsi="Times New Roman" w:cs="Times New Roman"/>
        </w:rPr>
        <w:t xml:space="preserve">FSC </w:t>
      </w:r>
      <w:r w:rsidRPr="00885A57">
        <w:rPr>
          <w:rFonts w:ascii="Times New Roman" w:eastAsia="標楷體" w:hAnsi="Times New Roman" w:cs="Times New Roman"/>
        </w:rPr>
        <w:t xml:space="preserve">amended the </w:t>
      </w:r>
      <w:r w:rsidRPr="002153DE">
        <w:rPr>
          <w:rFonts w:ascii="Times New Roman" w:eastAsia="標楷體" w:hAnsi="Times New Roman" w:cs="Times New Roman"/>
          <w:iCs/>
        </w:rPr>
        <w:t>Standards for the Levy Rates of Life Insurance and Non-Life Insurance Guaranty Funds</w:t>
      </w:r>
      <w:r w:rsidRPr="00885A57">
        <w:rPr>
          <w:rFonts w:ascii="Times New Roman" w:eastAsia="標楷體" w:hAnsi="Times New Roman" w:cs="Times New Roman"/>
        </w:rPr>
        <w:t xml:space="preserve"> to include premium income from life insurance for people with disabilities as a management and operations performance indicator that determines the rate of life insurance guaranty funds. The rate is adjusted every year.</w:t>
      </w:r>
    </w:p>
    <w:p w14:paraId="4EDCE3B3" w14:textId="77777777" w:rsidR="00762B16" w:rsidRPr="00885A57" w:rsidRDefault="00762B16" w:rsidP="001A2139">
      <w:pPr>
        <w:pStyle w:val="a7"/>
        <w:numPr>
          <w:ilvl w:val="0"/>
          <w:numId w:val="26"/>
        </w:numPr>
        <w:spacing w:after="120" w:line="360" w:lineRule="auto"/>
        <w:ind w:leftChars="0"/>
        <w:jc w:val="both"/>
        <w:rPr>
          <w:rFonts w:ascii="Times New Roman" w:eastAsia="標楷體" w:hAnsi="Times New Roman" w:cs="Times New Roman"/>
        </w:rPr>
      </w:pPr>
      <w:r w:rsidRPr="00885A57">
        <w:rPr>
          <w:rFonts w:ascii="Times New Roman" w:eastAsia="標楷體" w:hAnsi="Times New Roman" w:cs="Times New Roman"/>
        </w:rPr>
        <w:t>In 2020, the implementation of assistive service measures for people with disabilities was included as a criterion in the annual assessment of compliance with the Principle for Financial Service Industries to Treat Clients Fairly. Insurance companies that perform favorably in this respect will receive public recognition.</w:t>
      </w:r>
    </w:p>
    <w:p w14:paraId="0B1828AA" w14:textId="451BBCA0" w:rsidR="00762B16" w:rsidRPr="000E78BD" w:rsidRDefault="00762B16" w:rsidP="001A2139">
      <w:pPr>
        <w:pStyle w:val="a7"/>
        <w:numPr>
          <w:ilvl w:val="0"/>
          <w:numId w:val="26"/>
        </w:numPr>
        <w:spacing w:after="120" w:line="360" w:lineRule="auto"/>
        <w:ind w:leftChars="0"/>
        <w:jc w:val="both"/>
        <w:rPr>
          <w:rFonts w:ascii="Times New Roman" w:eastAsia="標楷體" w:hAnsi="Times New Roman" w:cs="Times New Roman"/>
        </w:rPr>
      </w:pPr>
      <w:r w:rsidRPr="000E78BD">
        <w:rPr>
          <w:rFonts w:ascii="Times New Roman" w:eastAsia="標楷體" w:hAnsi="Times New Roman" w:cs="Times New Roman"/>
        </w:rPr>
        <w:t xml:space="preserve">The </w:t>
      </w:r>
      <w:r w:rsidR="00244BFA" w:rsidRPr="000E78BD">
        <w:rPr>
          <w:rFonts w:ascii="Times New Roman" w:eastAsia="標楷體" w:hAnsi="Times New Roman" w:cs="Times New Roman"/>
        </w:rPr>
        <w:t xml:space="preserve">FSC </w:t>
      </w:r>
      <w:r w:rsidRPr="000E78BD">
        <w:rPr>
          <w:rFonts w:ascii="Times New Roman" w:eastAsia="標楷體" w:hAnsi="Times New Roman" w:cs="Times New Roman"/>
        </w:rPr>
        <w:t xml:space="preserve">has requested </w:t>
      </w:r>
      <w:r w:rsidR="00244BFA" w:rsidRPr="000E78BD">
        <w:rPr>
          <w:rFonts w:ascii="Times New Roman" w:eastAsia="標楷體" w:hAnsi="Times New Roman" w:cs="Times New Roman"/>
        </w:rPr>
        <w:t xml:space="preserve">that </w:t>
      </w:r>
      <w:r w:rsidRPr="000E78BD">
        <w:rPr>
          <w:rFonts w:ascii="Times New Roman" w:eastAsia="標楷體" w:hAnsi="Times New Roman" w:cs="Times New Roman"/>
        </w:rPr>
        <w:t>insurance companies create service environments that are friendly to people with disabilities, facilitating insurance transactions by these people. Insurance companies should also encourage their sales</w:t>
      </w:r>
      <w:r w:rsidR="000E78BD">
        <w:rPr>
          <w:rFonts w:ascii="Times New Roman" w:eastAsia="標楷體" w:hAnsi="Times New Roman" w:cs="Times New Roman"/>
        </w:rPr>
        <w:t xml:space="preserve"> staff</w:t>
      </w:r>
      <w:r w:rsidRPr="000E78BD">
        <w:rPr>
          <w:rFonts w:ascii="Times New Roman" w:eastAsia="標楷體" w:hAnsi="Times New Roman" w:cs="Times New Roman"/>
        </w:rPr>
        <w:t xml:space="preserve"> to help people with disabilities purchase insurance policies and ensure the implementation of </w:t>
      </w:r>
      <w:r w:rsidR="000E78BD">
        <w:rPr>
          <w:rFonts w:ascii="Times New Roman" w:eastAsia="標楷體" w:hAnsi="Times New Roman" w:cs="Times New Roman"/>
        </w:rPr>
        <w:t>disabled</w:t>
      </w:r>
      <w:r w:rsidRPr="000E78BD">
        <w:rPr>
          <w:rFonts w:ascii="Times New Roman" w:eastAsia="標楷體" w:hAnsi="Times New Roman" w:cs="Times New Roman"/>
        </w:rPr>
        <w:t>-friendly measures.</w:t>
      </w:r>
    </w:p>
    <w:p w14:paraId="38DCC50B" w14:textId="717C811F" w:rsidR="00762B16" w:rsidRPr="000E78BD" w:rsidRDefault="00762B16" w:rsidP="001A2139">
      <w:pPr>
        <w:pStyle w:val="a7"/>
        <w:numPr>
          <w:ilvl w:val="0"/>
          <w:numId w:val="26"/>
        </w:numPr>
        <w:spacing w:after="120" w:line="360" w:lineRule="auto"/>
        <w:ind w:leftChars="0"/>
        <w:jc w:val="both"/>
        <w:rPr>
          <w:rFonts w:ascii="Times New Roman" w:eastAsia="標楷體" w:hAnsi="Times New Roman" w:cs="Times New Roman"/>
        </w:rPr>
      </w:pPr>
      <w:r w:rsidRPr="000E78BD">
        <w:rPr>
          <w:rFonts w:ascii="Times New Roman" w:eastAsia="標楷體" w:hAnsi="Times New Roman" w:cs="Times New Roman"/>
        </w:rPr>
        <w:t xml:space="preserve">The </w:t>
      </w:r>
      <w:r w:rsidR="00244BFA" w:rsidRPr="000E78BD">
        <w:rPr>
          <w:rFonts w:ascii="Times New Roman" w:eastAsia="標楷體" w:hAnsi="Times New Roman" w:cs="Times New Roman"/>
        </w:rPr>
        <w:t xml:space="preserve">FSC has requested that </w:t>
      </w:r>
      <w:r w:rsidRPr="000E78BD">
        <w:rPr>
          <w:rFonts w:ascii="Times New Roman" w:eastAsia="標楷體" w:hAnsi="Times New Roman" w:cs="Times New Roman"/>
        </w:rPr>
        <w:t>insurance companies send a written notice specifying the reason for declining to underwrite a prospective insured with disabilities.</w:t>
      </w:r>
    </w:p>
    <w:p w14:paraId="0880152F" w14:textId="1DA265BA" w:rsidR="00762B16" w:rsidRPr="000E78BD" w:rsidRDefault="00762B16" w:rsidP="001A2139">
      <w:pPr>
        <w:pStyle w:val="a7"/>
        <w:numPr>
          <w:ilvl w:val="0"/>
          <w:numId w:val="26"/>
        </w:numPr>
        <w:spacing w:after="120" w:line="360" w:lineRule="auto"/>
        <w:ind w:leftChars="0"/>
        <w:jc w:val="both"/>
        <w:rPr>
          <w:rFonts w:ascii="Times New Roman" w:eastAsia="標楷體" w:hAnsi="Times New Roman" w:cs="Times New Roman"/>
        </w:rPr>
      </w:pPr>
      <w:r w:rsidRPr="000E78BD">
        <w:rPr>
          <w:rFonts w:ascii="Times New Roman" w:eastAsia="標楷體" w:hAnsi="Times New Roman" w:cs="Times New Roman"/>
        </w:rPr>
        <w:t xml:space="preserve">The FSC </w:t>
      </w:r>
      <w:r w:rsidR="000E78BD" w:rsidRPr="00F370E0">
        <w:rPr>
          <w:rFonts w:ascii="Times New Roman" w:eastAsia="標楷體" w:hAnsi="Times New Roman" w:cs="Times New Roman"/>
        </w:rPr>
        <w:t>has asked</w:t>
      </w:r>
      <w:r w:rsidR="000E78BD" w:rsidRPr="000E78BD">
        <w:rPr>
          <w:rFonts w:ascii="Times New Roman" w:eastAsia="標楷體" w:hAnsi="Times New Roman" w:cs="Times New Roman"/>
        </w:rPr>
        <w:t xml:space="preserve"> </w:t>
      </w:r>
      <w:r w:rsidRPr="000E78BD">
        <w:rPr>
          <w:rFonts w:ascii="Times New Roman" w:eastAsia="標楷體" w:hAnsi="Times New Roman" w:cs="Times New Roman"/>
        </w:rPr>
        <w:t xml:space="preserve">the Life Insurance Association of the Republic of China </w:t>
      </w:r>
      <w:r w:rsidRPr="000E78BD">
        <w:rPr>
          <w:rFonts w:ascii="Times New Roman" w:eastAsia="標楷體" w:hAnsi="Times New Roman" w:cs="Times New Roman"/>
        </w:rPr>
        <w:lastRenderedPageBreak/>
        <w:t>and the Non-Life Insurance Association of the Republic of China to establish an appeal hotline for</w:t>
      </w:r>
      <w:r w:rsidR="000E78BD">
        <w:rPr>
          <w:rFonts w:ascii="Times New Roman" w:eastAsia="標楷體" w:hAnsi="Times New Roman" w:cs="Times New Roman"/>
        </w:rPr>
        <w:t xml:space="preserve"> </w:t>
      </w:r>
      <w:r w:rsidRPr="000E78BD">
        <w:rPr>
          <w:rFonts w:ascii="Times New Roman" w:eastAsia="標楷體" w:hAnsi="Times New Roman" w:cs="Times New Roman"/>
        </w:rPr>
        <w:t>people with disabilities as well as emergency contacts for all insurance companies to handle appeals in real</w:t>
      </w:r>
      <w:r w:rsidR="003F6195">
        <w:rPr>
          <w:rFonts w:ascii="Times New Roman" w:eastAsia="標楷體" w:hAnsi="Times New Roman" w:cs="Times New Roman"/>
        </w:rPr>
        <w:t xml:space="preserve"> </w:t>
      </w:r>
      <w:r w:rsidRPr="000E78BD">
        <w:rPr>
          <w:rFonts w:ascii="Times New Roman" w:eastAsia="標楷體" w:hAnsi="Times New Roman" w:cs="Times New Roman"/>
        </w:rPr>
        <w:t>time.</w:t>
      </w:r>
    </w:p>
    <w:p w14:paraId="1524E3E4" w14:textId="02967333" w:rsidR="00420BF6" w:rsidRPr="00885A57" w:rsidRDefault="00762B16" w:rsidP="006F04A1">
      <w:pPr>
        <w:pStyle w:val="a7"/>
        <w:numPr>
          <w:ilvl w:val="0"/>
          <w:numId w:val="26"/>
        </w:numPr>
        <w:spacing w:after="120" w:line="360" w:lineRule="auto"/>
        <w:ind w:leftChars="0"/>
        <w:jc w:val="both"/>
        <w:rPr>
          <w:rFonts w:ascii="Times New Roman" w:eastAsia="標楷體" w:hAnsi="Times New Roman" w:cs="Times New Roman"/>
        </w:rPr>
      </w:pPr>
      <w:r w:rsidRPr="00885A57">
        <w:rPr>
          <w:rFonts w:ascii="Times New Roman" w:eastAsia="標楷體" w:hAnsi="Times New Roman" w:cs="Times New Roman"/>
        </w:rPr>
        <w:t xml:space="preserve">The commission has urged the Taiwan Insurance Institute to create an empirical statistical database for policyholders with disabilities, and the FSC conducts statistical analysis on stored data to determine the number of insured and noninsured people with disabilities. As of 2019, the number of life insurance contracts for people with disabilities underwritten by insurance companies exceeded 224,000. The insured/noninsured status of people with disabilities </w:t>
      </w:r>
      <w:r w:rsidR="000E78BD">
        <w:rPr>
          <w:rFonts w:ascii="Times New Roman" w:eastAsia="標楷體" w:hAnsi="Times New Roman" w:cs="Times New Roman"/>
        </w:rPr>
        <w:t xml:space="preserve">for </w:t>
      </w:r>
      <w:r w:rsidRPr="00885A57">
        <w:rPr>
          <w:rFonts w:ascii="Times New Roman" w:eastAsia="標楷體" w:hAnsi="Times New Roman" w:cs="Times New Roman"/>
        </w:rPr>
        <w:t xml:space="preserve">the </w:t>
      </w:r>
      <w:r w:rsidR="00B9414D">
        <w:rPr>
          <w:rFonts w:ascii="Times New Roman" w:eastAsia="標楷體" w:hAnsi="Times New Roman" w:cs="Times New Roman"/>
        </w:rPr>
        <w:t>pas</w:t>
      </w:r>
      <w:r w:rsidRPr="00885A57">
        <w:rPr>
          <w:rFonts w:ascii="Times New Roman" w:eastAsia="標楷體" w:hAnsi="Times New Roman" w:cs="Times New Roman"/>
        </w:rPr>
        <w:t xml:space="preserve">t two years is detailed in Table 25.5. Noninsured cases can be categorized into cases involving disease and those involving nonphysical conditions (e.g., the client suspended the underwriting process; the client did not submit additional documents, did not revise documents as requested, or did not complete the underwriting process before the deadline; </w:t>
      </w:r>
      <w:r w:rsidR="000E78BD">
        <w:rPr>
          <w:rFonts w:ascii="Times New Roman" w:eastAsia="標楷體" w:hAnsi="Times New Roman" w:cs="Times New Roman"/>
        </w:rPr>
        <w:t xml:space="preserve">or </w:t>
      </w:r>
      <w:r w:rsidRPr="00885A57">
        <w:rPr>
          <w:rFonts w:ascii="Times New Roman" w:eastAsia="標楷體" w:hAnsi="Times New Roman" w:cs="Times New Roman"/>
        </w:rPr>
        <w:t>the client did not accept the policy terms and conditions). The aforementioned analysis revealed that risk is the major concern when insurance companies underwrite a policy rather than the policyholder’s identity.</w:t>
      </w:r>
    </w:p>
    <w:p w14:paraId="21A36E64" w14:textId="3BA3B840" w:rsidR="00E75F95" w:rsidRPr="00885A57" w:rsidRDefault="00841BC7"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To understand why insurance applications </w:t>
      </w:r>
      <w:r w:rsidR="000E78BD">
        <w:rPr>
          <w:rFonts w:ascii="Times New Roman" w:eastAsia="標楷體" w:hAnsi="Times New Roman" w:cs="Times New Roman"/>
          <w:szCs w:val="24"/>
        </w:rPr>
        <w:t xml:space="preserve">for individuals with disabilities </w:t>
      </w:r>
      <w:r w:rsidRPr="00885A57">
        <w:rPr>
          <w:rFonts w:ascii="Times New Roman" w:eastAsia="標楷體" w:hAnsi="Times New Roman" w:cs="Times New Roman"/>
          <w:szCs w:val="24"/>
        </w:rPr>
        <w:t xml:space="preserve">were declined, </w:t>
      </w:r>
      <w:r w:rsidR="000E78BD">
        <w:rPr>
          <w:rFonts w:ascii="Times New Roman" w:eastAsia="標楷體" w:hAnsi="Times New Roman" w:cs="Times New Roman"/>
          <w:szCs w:val="24"/>
        </w:rPr>
        <w:t xml:space="preserve">a </w:t>
      </w:r>
      <w:r w:rsidRPr="00885A57">
        <w:rPr>
          <w:rFonts w:ascii="Times New Roman" w:eastAsia="標楷體" w:hAnsi="Times New Roman" w:cs="Times New Roman"/>
          <w:szCs w:val="24"/>
        </w:rPr>
        <w:t xml:space="preserve">statistical database of underwriting involving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has been online since February 2018. The database contains statistics </w:t>
      </w:r>
      <w:r w:rsidR="000E78BD">
        <w:rPr>
          <w:rFonts w:ascii="Times New Roman" w:eastAsia="標楷體" w:hAnsi="Times New Roman" w:cs="Times New Roman"/>
          <w:szCs w:val="24"/>
        </w:rPr>
        <w:t xml:space="preserve">on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who were refused insurance. Taiwan continues to perform statistical analysis on data related to insurance companies underwriting </w:t>
      </w:r>
      <w:r w:rsidR="000E78BD">
        <w:rPr>
          <w:rFonts w:ascii="Times New Roman" w:eastAsia="標楷體" w:hAnsi="Times New Roman" w:cs="Times New Roman"/>
          <w:szCs w:val="24"/>
        </w:rPr>
        <w:t xml:space="preserve">policies </w:t>
      </w:r>
      <w:r w:rsidR="000E78BD">
        <w:rPr>
          <w:rFonts w:ascii="Times New Roman" w:eastAsia="標楷體" w:hAnsi="Times New Roman" w:cs="Times New Roman"/>
          <w:szCs w:val="24"/>
        </w:rPr>
        <w:lastRenderedPageBreak/>
        <w:t xml:space="preserve">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In addition to </w:t>
      </w:r>
      <w:r w:rsidR="000E78BD">
        <w:rPr>
          <w:rFonts w:ascii="Times New Roman" w:eastAsia="標楷體" w:hAnsi="Times New Roman" w:cs="Times New Roman"/>
          <w:szCs w:val="24"/>
        </w:rPr>
        <w:t xml:space="preserve">this </w:t>
      </w:r>
      <w:r w:rsidRPr="00885A57">
        <w:rPr>
          <w:rFonts w:ascii="Times New Roman" w:eastAsia="標楷體" w:hAnsi="Times New Roman" w:cs="Times New Roman"/>
          <w:szCs w:val="24"/>
        </w:rPr>
        <w:t>database</w:t>
      </w:r>
      <w:r w:rsidR="000E78BD">
        <w:rPr>
          <w:rFonts w:ascii="Times New Roman" w:eastAsia="標楷體" w:hAnsi="Times New Roman" w:cs="Times New Roman"/>
          <w:szCs w:val="24"/>
        </w:rPr>
        <w:t>, which</w:t>
      </w:r>
      <w:r w:rsidRPr="00885A57">
        <w:rPr>
          <w:rFonts w:ascii="Times New Roman" w:eastAsia="標楷體" w:hAnsi="Times New Roman" w:cs="Times New Roman"/>
          <w:szCs w:val="24"/>
        </w:rPr>
        <w:t xml:space="preserve"> serves as a reference for relevant supervision and policymaking, the government has requested </w:t>
      </w:r>
      <w:r w:rsidR="000E78BD">
        <w:rPr>
          <w:rFonts w:ascii="Times New Roman" w:eastAsia="標楷體" w:hAnsi="Times New Roman" w:cs="Times New Roman"/>
          <w:szCs w:val="24"/>
        </w:rPr>
        <w:t xml:space="preserve">that </w:t>
      </w:r>
      <w:r w:rsidRPr="00885A57">
        <w:rPr>
          <w:rFonts w:ascii="Times New Roman" w:eastAsia="標楷體" w:hAnsi="Times New Roman" w:cs="Times New Roman"/>
          <w:szCs w:val="24"/>
        </w:rPr>
        <w:t xml:space="preserve">insurance companies meticulously verify the experience rating </w:t>
      </w:r>
      <w:r w:rsidR="00722194">
        <w:rPr>
          <w:rFonts w:ascii="Times New Roman" w:eastAsia="標楷體" w:hAnsi="Times New Roman" w:cs="Times New Roman"/>
          <w:szCs w:val="24"/>
        </w:rPr>
        <w:t xml:space="preserve">used </w:t>
      </w:r>
      <w:r w:rsidRPr="00885A57">
        <w:rPr>
          <w:rFonts w:ascii="Times New Roman" w:eastAsia="標楷體" w:hAnsi="Times New Roman" w:cs="Times New Roman"/>
          <w:szCs w:val="24"/>
        </w:rPr>
        <w:t xml:space="preserve">by foreign insurers and adjust the rating according to </w:t>
      </w:r>
      <w:r w:rsidR="00722194">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health </w:t>
      </w:r>
      <w:r w:rsidR="00722194">
        <w:rPr>
          <w:rFonts w:ascii="Times New Roman" w:eastAsia="標楷體" w:hAnsi="Times New Roman" w:cs="Times New Roman"/>
          <w:szCs w:val="24"/>
        </w:rPr>
        <w:t xml:space="preserve">of local citizens </w:t>
      </w:r>
      <w:r w:rsidRPr="00885A57">
        <w:rPr>
          <w:rFonts w:ascii="Times New Roman" w:eastAsia="標楷體" w:hAnsi="Times New Roman" w:cs="Times New Roman"/>
          <w:szCs w:val="24"/>
        </w:rPr>
        <w:t xml:space="preserve">to protect </w:t>
      </w:r>
      <w:r w:rsidR="00722194">
        <w:rPr>
          <w:rFonts w:ascii="Times New Roman" w:eastAsia="標楷體" w:hAnsi="Times New Roman" w:cs="Times New Roman"/>
          <w:szCs w:val="24"/>
        </w:rPr>
        <w:t xml:space="preserve">people with disabilities’ </w:t>
      </w:r>
      <w:r w:rsidRPr="00885A57">
        <w:rPr>
          <w:rFonts w:ascii="Times New Roman" w:eastAsia="標楷體" w:hAnsi="Times New Roman" w:cs="Times New Roman"/>
          <w:szCs w:val="24"/>
        </w:rPr>
        <w:t>right to insurance.</w:t>
      </w:r>
    </w:p>
    <w:p w14:paraId="150CCF93" w14:textId="3665C734" w:rsidR="00E05A7F" w:rsidRPr="00885A57" w:rsidRDefault="00841BC7" w:rsidP="001A2139">
      <w:pPr>
        <w:pStyle w:val="a7"/>
        <w:numPr>
          <w:ilvl w:val="0"/>
          <w:numId w:val="45"/>
        </w:numPr>
        <w:spacing w:after="120" w:line="360" w:lineRule="auto"/>
        <w:ind w:leftChars="0" w:left="567" w:hanging="567"/>
        <w:jc w:val="both"/>
        <w:rPr>
          <w:rFonts w:ascii="Times New Roman" w:eastAsia="標楷體" w:hAnsi="Times New Roman" w:cs="Times New Roman"/>
        </w:rPr>
      </w:pPr>
      <w:bookmarkStart w:id="165" w:name="_Ref48208919"/>
      <w:bookmarkStart w:id="166" w:name="_Ref55914688"/>
      <w:r w:rsidRPr="00885A57">
        <w:rPr>
          <w:rFonts w:ascii="Times New Roman" w:eastAsia="標楷體" w:hAnsi="Times New Roman" w:cs="Times New Roman"/>
          <w:szCs w:val="24"/>
        </w:rPr>
        <w:t xml:space="preserve">Upon admission to a correctional institution, inmates with disabilities receive health checks and blood screening. Where a physician determines that subsequent treatment or rehabilitation is required, the correctional institution shall </w:t>
      </w:r>
      <w:r w:rsidR="00722194">
        <w:rPr>
          <w:rFonts w:ascii="Times New Roman" w:eastAsia="標楷體" w:hAnsi="Times New Roman" w:cs="Times New Roman"/>
          <w:szCs w:val="24"/>
        </w:rPr>
        <w:t xml:space="preserve">provide </w:t>
      </w:r>
      <w:r w:rsidRPr="00885A57">
        <w:rPr>
          <w:rFonts w:ascii="Times New Roman" w:eastAsia="標楷體" w:hAnsi="Times New Roman" w:cs="Times New Roman"/>
          <w:szCs w:val="24"/>
        </w:rPr>
        <w:t xml:space="preserve">the inmate with medical care </w:t>
      </w:r>
      <w:r w:rsidR="00722194">
        <w:rPr>
          <w:rFonts w:ascii="Times New Roman" w:eastAsia="標楷體" w:hAnsi="Times New Roman" w:cs="Times New Roman"/>
          <w:szCs w:val="24"/>
        </w:rPr>
        <w:t xml:space="preserve">in accordance with </w:t>
      </w:r>
      <w:r w:rsidRPr="00885A57">
        <w:rPr>
          <w:rFonts w:ascii="Times New Roman" w:eastAsia="標楷體" w:hAnsi="Times New Roman" w:cs="Times New Roman"/>
          <w:szCs w:val="24"/>
        </w:rPr>
        <w:t xml:space="preserve">the medical order. Where a physician determines that, based on the review of objective facts, the individual lacks cognitive abilities due to </w:t>
      </w:r>
      <w:r w:rsidR="00722194">
        <w:rPr>
          <w:rFonts w:ascii="Times New Roman" w:eastAsia="標楷體" w:hAnsi="Times New Roman" w:cs="Times New Roman"/>
          <w:szCs w:val="24"/>
        </w:rPr>
        <w:t xml:space="preserve">his/her </w:t>
      </w:r>
      <w:r w:rsidRPr="00885A57">
        <w:rPr>
          <w:rFonts w:ascii="Times New Roman" w:eastAsia="標楷體" w:hAnsi="Times New Roman" w:cs="Times New Roman"/>
          <w:szCs w:val="24"/>
        </w:rPr>
        <w:t xml:space="preserve">physical or mental condition and cannot take care of </w:t>
      </w:r>
      <w:r w:rsidR="00722194">
        <w:rPr>
          <w:rFonts w:ascii="Times New Roman" w:eastAsia="標楷體" w:hAnsi="Times New Roman" w:cs="Times New Roman"/>
          <w:szCs w:val="24"/>
        </w:rPr>
        <w:t xml:space="preserve">him/herself </w:t>
      </w:r>
      <w:r w:rsidRPr="00885A57">
        <w:rPr>
          <w:rFonts w:ascii="Times New Roman" w:eastAsia="標楷體" w:hAnsi="Times New Roman" w:cs="Times New Roman"/>
          <w:szCs w:val="24"/>
        </w:rPr>
        <w:t xml:space="preserve">or the individual cannot take care of </w:t>
      </w:r>
      <w:r w:rsidR="00722194">
        <w:rPr>
          <w:rFonts w:ascii="Times New Roman" w:eastAsia="標楷體" w:hAnsi="Times New Roman" w:cs="Times New Roman"/>
          <w:szCs w:val="24"/>
        </w:rPr>
        <w:t xml:space="preserve">him/herself </w:t>
      </w:r>
      <w:r w:rsidRPr="00885A57">
        <w:rPr>
          <w:rFonts w:ascii="Times New Roman" w:eastAsia="標楷體" w:hAnsi="Times New Roman" w:cs="Times New Roman"/>
          <w:szCs w:val="24"/>
        </w:rPr>
        <w:t>in prison due to frailty or disability, the</w:t>
      </w:r>
      <w:r w:rsidRPr="00885A57">
        <w:rPr>
          <w:rFonts w:ascii="Times New Roman" w:hAnsi="Times New Roman" w:cs="Times New Roman"/>
          <w:szCs w:val="24"/>
        </w:rPr>
        <w:t xml:space="preserve"> </w:t>
      </w:r>
      <w:r w:rsidRPr="00885A57">
        <w:rPr>
          <w:rFonts w:ascii="Times New Roman" w:eastAsia="標楷體" w:hAnsi="Times New Roman" w:cs="Times New Roman"/>
          <w:szCs w:val="24"/>
        </w:rPr>
        <w:t xml:space="preserve">institution may refuse to accept the inmate according to the physician’s evaluation. Under such circumstances, the prosecutor may transfer the inmate to a hospital, guardianship, or other suitable </w:t>
      </w:r>
      <w:r w:rsidR="00722194" w:rsidRPr="00885A57">
        <w:rPr>
          <w:rFonts w:ascii="Times New Roman" w:eastAsia="標楷體" w:hAnsi="Times New Roman" w:cs="Times New Roman"/>
          <w:szCs w:val="24"/>
        </w:rPr>
        <w:t>facilit</w:t>
      </w:r>
      <w:r w:rsidR="00722194">
        <w:rPr>
          <w:rFonts w:ascii="Times New Roman" w:eastAsia="標楷體" w:hAnsi="Times New Roman" w:cs="Times New Roman"/>
          <w:szCs w:val="24"/>
        </w:rPr>
        <w:t>y</w:t>
      </w:r>
      <w:r w:rsidRPr="00885A57">
        <w:rPr>
          <w:rFonts w:ascii="Times New Roman" w:eastAsia="標楷體" w:hAnsi="Times New Roman" w:cs="Times New Roman"/>
          <w:szCs w:val="24"/>
        </w:rPr>
        <w:t xml:space="preserve">. Following the initiation of the second generation of </w:t>
      </w:r>
      <w:r w:rsidR="00722194">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NHI </w:t>
      </w:r>
      <w:r w:rsidR="00722194">
        <w:rPr>
          <w:rFonts w:ascii="Times New Roman" w:eastAsia="標楷體" w:hAnsi="Times New Roman" w:cs="Times New Roman"/>
          <w:szCs w:val="24"/>
        </w:rPr>
        <w:t xml:space="preserve">program </w:t>
      </w:r>
      <w:r w:rsidRPr="00885A57">
        <w:rPr>
          <w:rFonts w:ascii="Times New Roman" w:eastAsia="標楷體" w:hAnsi="Times New Roman" w:cs="Times New Roman"/>
          <w:szCs w:val="24"/>
        </w:rPr>
        <w:t xml:space="preserve">in 2013, inmates are covered by NHI and are entitled to receive outpatient clinic services provided by health care teams </w:t>
      </w:r>
      <w:r w:rsidR="00722194">
        <w:rPr>
          <w:rFonts w:ascii="Times New Roman" w:eastAsia="標楷體" w:hAnsi="Times New Roman" w:cs="Times New Roman"/>
          <w:szCs w:val="24"/>
        </w:rPr>
        <w:t xml:space="preserve">at </w:t>
      </w:r>
      <w:r w:rsidRPr="00885A57">
        <w:rPr>
          <w:rFonts w:ascii="Times New Roman" w:eastAsia="標楷體" w:hAnsi="Times New Roman" w:cs="Times New Roman"/>
          <w:szCs w:val="24"/>
        </w:rPr>
        <w:t xml:space="preserve">correctional institutions. If </w:t>
      </w:r>
      <w:r w:rsidR="00722194">
        <w:rPr>
          <w:rFonts w:ascii="Times New Roman" w:eastAsia="標楷體" w:hAnsi="Times New Roman" w:cs="Times New Roman"/>
          <w:szCs w:val="24"/>
        </w:rPr>
        <w:t xml:space="preserve">a </w:t>
      </w:r>
      <w:r w:rsidRPr="00885A57">
        <w:rPr>
          <w:rFonts w:ascii="Times New Roman" w:eastAsia="標楷體" w:hAnsi="Times New Roman" w:cs="Times New Roman"/>
          <w:szCs w:val="24"/>
        </w:rPr>
        <w:t xml:space="preserve">transfer is necessary, </w:t>
      </w:r>
      <w:r w:rsidR="00722194">
        <w:rPr>
          <w:rFonts w:ascii="Times New Roman" w:eastAsia="標楷體" w:hAnsi="Times New Roman" w:cs="Times New Roman"/>
          <w:szCs w:val="24"/>
        </w:rPr>
        <w:t xml:space="preserve">an </w:t>
      </w:r>
      <w:r w:rsidRPr="00885A57">
        <w:rPr>
          <w:rFonts w:ascii="Times New Roman" w:eastAsia="標楷體" w:hAnsi="Times New Roman" w:cs="Times New Roman"/>
          <w:szCs w:val="24"/>
        </w:rPr>
        <w:t xml:space="preserve">inmate may be sent to a suitable hospital accompanied by a guard escort. Inmates are allowed to receive health care services </w:t>
      </w:r>
      <w:r w:rsidR="00722194">
        <w:rPr>
          <w:rFonts w:ascii="Times New Roman" w:eastAsia="標楷體" w:hAnsi="Times New Roman" w:cs="Times New Roman"/>
          <w:szCs w:val="24"/>
        </w:rPr>
        <w:t xml:space="preserve">equivalent to those enjoyed by </w:t>
      </w:r>
      <w:r w:rsidRPr="00885A57">
        <w:rPr>
          <w:rFonts w:ascii="Times New Roman" w:eastAsia="標楷體" w:hAnsi="Times New Roman" w:cs="Times New Roman"/>
          <w:szCs w:val="24"/>
        </w:rPr>
        <w:t>the general public, making Taiwan one of the few countries to achieve mainstreaming of health care in prison.</w:t>
      </w:r>
      <w:bookmarkEnd w:id="165"/>
      <w:bookmarkEnd w:id="166"/>
      <w:r w:rsidRPr="00885A57">
        <w:rPr>
          <w:rFonts w:ascii="Times New Roman" w:eastAsia="標楷體" w:hAnsi="Times New Roman" w:cs="Times New Roman"/>
          <w:vertAlign w:val="superscript"/>
        </w:rPr>
        <w:footnoteReference w:id="110"/>
      </w:r>
    </w:p>
    <w:p w14:paraId="5D7DAF45" w14:textId="360C93BA" w:rsidR="00BB6DF4" w:rsidRPr="00885A57" w:rsidRDefault="00CF76AC" w:rsidP="006F04A1">
      <w:pPr>
        <w:pStyle w:val="10"/>
        <w:spacing w:after="120" w:line="360" w:lineRule="auto"/>
        <w:rPr>
          <w:rFonts w:ascii="Times New Roman" w:hAnsi="Times New Roman"/>
        </w:rPr>
      </w:pPr>
      <w:bookmarkStart w:id="167" w:name="_Toc73108695"/>
      <w:r w:rsidRPr="00885A57">
        <w:rPr>
          <w:rFonts w:ascii="Times New Roman" w:hAnsi="Times New Roman"/>
        </w:rPr>
        <w:lastRenderedPageBreak/>
        <w:t>Article 26</w:t>
      </w:r>
      <w:bookmarkStart w:id="168" w:name="_Toc55900608"/>
      <w:r w:rsidR="00B645D5" w:rsidRPr="00885A57">
        <w:rPr>
          <w:rFonts w:ascii="Times New Roman" w:hAnsi="Times New Roman"/>
        </w:rPr>
        <w:t xml:space="preserve">: </w:t>
      </w:r>
      <w:r w:rsidRPr="00885A57">
        <w:rPr>
          <w:rFonts w:ascii="Times New Roman" w:hAnsi="Times New Roman"/>
        </w:rPr>
        <w:t>Habilitation and rehabilitation</w:t>
      </w:r>
      <w:bookmarkEnd w:id="167"/>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bookmarkEnd w:id="168"/>
    </w:p>
    <w:p w14:paraId="28131C24" w14:textId="1D08FFBA" w:rsidR="006D5788" w:rsidRPr="00885A57" w:rsidRDefault="00841BC7"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To provide individual support and care for people with disabilities, improve their quality of life, and promote social participation and independent living, authorities </w:t>
      </w:r>
      <w:r w:rsidR="00722194">
        <w:rPr>
          <w:rFonts w:ascii="Times New Roman" w:eastAsia="標楷體" w:hAnsi="Times New Roman" w:cs="Times New Roman"/>
          <w:szCs w:val="24"/>
        </w:rPr>
        <w:t xml:space="preserve">are to </w:t>
      </w:r>
      <w:r w:rsidRPr="00885A57">
        <w:rPr>
          <w:rFonts w:ascii="Times New Roman" w:eastAsia="標楷體" w:hAnsi="Times New Roman" w:cs="Times New Roman"/>
          <w:szCs w:val="24"/>
        </w:rPr>
        <w:t>offer relevant services based on the results of a needs assessment. For information on early intervention services, assistive technology standards, the development and exchange of assistive technology, and habilitation and rehabilitation related to education, health, and employment, please refer to Articles 7, 20, 24, 25, and 27.</w:t>
      </w:r>
    </w:p>
    <w:p w14:paraId="0D7CF514" w14:textId="00C5A4A3" w:rsidR="00847A2F" w:rsidRPr="00885A57" w:rsidRDefault="00CF76AC" w:rsidP="006F04A1">
      <w:pPr>
        <w:pStyle w:val="10"/>
        <w:spacing w:after="120" w:line="360" w:lineRule="auto"/>
        <w:rPr>
          <w:rFonts w:ascii="Times New Roman" w:hAnsi="Times New Roman"/>
        </w:rPr>
      </w:pPr>
      <w:bookmarkStart w:id="169" w:name="_Toc73108696"/>
      <w:r w:rsidRPr="00885A57">
        <w:rPr>
          <w:rFonts w:ascii="Times New Roman" w:hAnsi="Times New Roman"/>
        </w:rPr>
        <w:t>Article 27</w:t>
      </w:r>
      <w:bookmarkStart w:id="170" w:name="_Toc55900610"/>
      <w:r w:rsidR="00B645D5" w:rsidRPr="00885A57">
        <w:rPr>
          <w:rFonts w:ascii="Times New Roman" w:hAnsi="Times New Roman"/>
        </w:rPr>
        <w:t xml:space="preserve">: </w:t>
      </w:r>
      <w:r w:rsidRPr="00885A57">
        <w:rPr>
          <w:rFonts w:ascii="Times New Roman" w:hAnsi="Times New Roman"/>
        </w:rPr>
        <w:t>Work and employment</w:t>
      </w:r>
      <w:bookmarkEnd w:id="169"/>
      <w:r w:rsidR="00387C3A" w:rsidRPr="00885A57">
        <w:rPr>
          <w:rFonts w:ascii="Times New Roman" w:hAnsi="Times New Roman"/>
        </w:rPr>
        <w:t xml:space="preserve"> </w:t>
      </w:r>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r w:rsidR="00097E91" w:rsidRPr="00885A57">
        <w:rPr>
          <w:rFonts w:ascii="Times New Roman" w:hAnsi="Times New Roman"/>
        </w:rPr>
        <w:tab/>
      </w:r>
      <w:r w:rsidR="00C71AD5" w:rsidRPr="00885A57">
        <w:rPr>
          <w:rFonts w:ascii="Times New Roman" w:hAnsi="Times New Roman"/>
        </w:rPr>
        <w:tab/>
      </w:r>
      <w:r w:rsidR="00C71AD5" w:rsidRPr="00885A57">
        <w:rPr>
          <w:rFonts w:ascii="Times New Roman" w:hAnsi="Times New Roman"/>
        </w:rPr>
        <w:tab/>
      </w:r>
      <w:r w:rsidR="00184682" w:rsidRPr="00885A57">
        <w:rPr>
          <w:rFonts w:ascii="Times New Roman" w:hAnsi="Times New Roman"/>
        </w:rPr>
        <w:tab/>
        <w:t xml:space="preserve"> </w:t>
      </w:r>
      <w:bookmarkEnd w:id="170"/>
    </w:p>
    <w:p w14:paraId="685D2526" w14:textId="0866F8C5" w:rsidR="003E6231" w:rsidRPr="00885A57" w:rsidRDefault="001B2D6B"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For legal protection and aid </w:t>
      </w:r>
      <w:r w:rsidR="00722194">
        <w:rPr>
          <w:rFonts w:ascii="Times New Roman" w:eastAsia="標楷體" w:hAnsi="Times New Roman" w:cs="Times New Roman"/>
          <w:szCs w:val="24"/>
        </w:rPr>
        <w:t xml:space="preserve">concerning </w:t>
      </w:r>
      <w:r w:rsidRPr="00885A57">
        <w:rPr>
          <w:rFonts w:ascii="Times New Roman" w:eastAsia="標楷體" w:hAnsi="Times New Roman" w:cs="Times New Roman"/>
          <w:szCs w:val="24"/>
        </w:rPr>
        <w:t xml:space="preserve">the right to work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please refer to Article 5</w:t>
      </w:r>
      <w:r w:rsidR="00722194">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Equality and nondiscrimination (Points </w:t>
      </w:r>
      <w:r w:rsidRPr="00885A57">
        <w:rPr>
          <w:rFonts w:ascii="Times New Roman" w:eastAsia="標楷體" w:hAnsi="Times New Roman" w:cs="Times New Roman"/>
          <w:szCs w:val="24"/>
        </w:rPr>
        <w:fldChar w:fldCharType="begin"/>
      </w:r>
      <w:r w:rsidRPr="00885A57">
        <w:rPr>
          <w:rFonts w:ascii="Times New Roman" w:eastAsia="標楷體" w:hAnsi="Times New Roman" w:cs="Times New Roman"/>
          <w:szCs w:val="24"/>
        </w:rPr>
        <w:instrText xml:space="preserve"> REF _Ref33621047 \r \h  \* MERGEFORMAT </w:instrText>
      </w:r>
      <w:r w:rsidRPr="00885A57">
        <w:rPr>
          <w:rFonts w:ascii="Times New Roman" w:eastAsia="標楷體" w:hAnsi="Times New Roman" w:cs="Times New Roman"/>
          <w:szCs w:val="24"/>
        </w:rPr>
      </w:r>
      <w:r w:rsidRPr="00885A57">
        <w:rPr>
          <w:rFonts w:ascii="Times New Roman" w:eastAsia="標楷體" w:hAnsi="Times New Roman" w:cs="Times New Roman"/>
          <w:szCs w:val="24"/>
        </w:rPr>
        <w:fldChar w:fldCharType="separate"/>
      </w:r>
      <w:r w:rsidR="00F00A73">
        <w:rPr>
          <w:rFonts w:ascii="Times New Roman" w:eastAsia="標楷體" w:hAnsi="Times New Roman" w:cs="Times New Roman"/>
          <w:szCs w:val="24"/>
        </w:rPr>
        <w:t>17</w:t>
      </w:r>
      <w:r w:rsidRPr="00885A57">
        <w:rPr>
          <w:rFonts w:ascii="Times New Roman" w:eastAsia="標楷體" w:hAnsi="Times New Roman" w:cs="Times New Roman"/>
          <w:szCs w:val="24"/>
        </w:rPr>
        <w:fldChar w:fldCharType="end"/>
      </w:r>
      <w:r w:rsidRPr="00885A57">
        <w:rPr>
          <w:rFonts w:ascii="Times New Roman" w:eastAsia="標楷體" w:hAnsi="Times New Roman" w:cs="Times New Roman"/>
          <w:szCs w:val="24"/>
        </w:rPr>
        <w:t xml:space="preserve"> and </w:t>
      </w:r>
      <w:r w:rsidRPr="00885A57">
        <w:rPr>
          <w:rFonts w:ascii="Times New Roman" w:eastAsia="標楷體" w:hAnsi="Times New Roman" w:cs="Times New Roman"/>
          <w:szCs w:val="24"/>
        </w:rPr>
        <w:fldChar w:fldCharType="begin"/>
      </w:r>
      <w:r w:rsidRPr="00885A57">
        <w:rPr>
          <w:rFonts w:ascii="Times New Roman" w:eastAsia="標楷體" w:hAnsi="Times New Roman" w:cs="Times New Roman"/>
          <w:szCs w:val="24"/>
        </w:rPr>
        <w:instrText xml:space="preserve"> REF _Ref33523442 \r \h  \* MERGEFORMAT </w:instrText>
      </w:r>
      <w:r w:rsidRPr="00885A57">
        <w:rPr>
          <w:rFonts w:ascii="Times New Roman" w:eastAsia="標楷體" w:hAnsi="Times New Roman" w:cs="Times New Roman"/>
          <w:szCs w:val="24"/>
        </w:rPr>
      </w:r>
      <w:r w:rsidRPr="00885A57">
        <w:rPr>
          <w:rFonts w:ascii="Times New Roman" w:eastAsia="標楷體" w:hAnsi="Times New Roman" w:cs="Times New Roman"/>
          <w:szCs w:val="24"/>
        </w:rPr>
        <w:fldChar w:fldCharType="separate"/>
      </w:r>
      <w:r w:rsidR="00F00A73">
        <w:rPr>
          <w:rFonts w:ascii="Times New Roman" w:eastAsia="標楷體" w:hAnsi="Times New Roman" w:cs="Times New Roman"/>
          <w:szCs w:val="24"/>
        </w:rPr>
        <w:t>28</w:t>
      </w:r>
      <w:r w:rsidRPr="00885A57">
        <w:rPr>
          <w:rFonts w:ascii="Times New Roman" w:eastAsia="標楷體" w:hAnsi="Times New Roman" w:cs="Times New Roman"/>
          <w:szCs w:val="24"/>
        </w:rPr>
        <w:fldChar w:fldCharType="end"/>
      </w:r>
      <w:r w:rsidRPr="00885A57">
        <w:rPr>
          <w:rFonts w:ascii="Times New Roman" w:eastAsia="標楷體" w:hAnsi="Times New Roman" w:cs="Times New Roman"/>
          <w:szCs w:val="24"/>
        </w:rPr>
        <w:t>).</w:t>
      </w:r>
    </w:p>
    <w:p w14:paraId="053B91FC" w14:textId="2A24402A" w:rsidR="000E2B6F" w:rsidRPr="00885A57" w:rsidRDefault="001B2D6B" w:rsidP="006F04A1">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As revealed in the </w:t>
      </w:r>
      <w:r w:rsidR="00B734DB" w:rsidRPr="00B734DB">
        <w:rPr>
          <w:rFonts w:ascii="Times New Roman" w:eastAsia="標楷體" w:hAnsi="Times New Roman" w:cs="Times New Roman"/>
          <w:szCs w:val="24"/>
        </w:rPr>
        <w:t xml:space="preserve">Survey on the Employment Status of People with Disabilities of the </w:t>
      </w:r>
      <w:r w:rsidRPr="00885A57">
        <w:rPr>
          <w:rFonts w:ascii="Times New Roman" w:eastAsia="標楷體" w:hAnsi="Times New Roman" w:cs="Times New Roman"/>
          <w:szCs w:val="24"/>
        </w:rPr>
        <w:t xml:space="preserve">MOL, the labor participation rate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aged 15 years and older was 20.7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(men = 25.5</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women = 14.7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which was much lower than the national rate of 59.07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The unemployment rate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was 8.1</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(men = 8.2</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women = 8.1</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which was also higher than the national average of 3.67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Nevertheless, compared with the 2016 Report of Disabled People’s Living Condition and Demand Survey, the labor participation and unemployment rates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increased and decreased by 0.3</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and 1.1</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lastRenderedPageBreak/>
        <w:t xml:space="preserve">respectively, with 6,000 new employees. The results indicate that the employment condition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had gradually improved. Specifically, 37,000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were engaged in nonstandard employment (including part</w:t>
      </w:r>
      <w:r w:rsidR="003F6195">
        <w:rPr>
          <w:rFonts w:ascii="Times New Roman" w:eastAsia="標楷體" w:hAnsi="Times New Roman" w:cs="Times New Roman"/>
          <w:szCs w:val="24"/>
        </w:rPr>
        <w:t xml:space="preserve"> </w:t>
      </w:r>
      <w:r w:rsidRPr="00885A57">
        <w:rPr>
          <w:rFonts w:ascii="Times New Roman" w:eastAsia="標楷體" w:hAnsi="Times New Roman" w:cs="Times New Roman"/>
          <w:szCs w:val="24"/>
        </w:rPr>
        <w:t>time, temporary, and contractual jobs; men = 19.4</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women = 25.0</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accounting for 22.0</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all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by comparison, 751,000 (8.2</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all employed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were engaged in nonstandard employment (Tables 27.1 and 27.2).</w:t>
      </w:r>
    </w:p>
    <w:p w14:paraId="2943218D" w14:textId="69365D58" w:rsidR="006916E0" w:rsidRPr="00885A57" w:rsidRDefault="001B2D6B"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The number of employees with disabilities in 2019 was 167,000, and they earned an average regular monthly income of NT$28,246 (means of male and female employees were NT$29,884 and NT$25,046, respectively), which was NT$2,307 more than the average reported in the 2016 survey, representing an 8.9</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increase. In 2019, the average monthly regular income of all </w:t>
      </w:r>
      <w:r w:rsidR="007C45CA">
        <w:rPr>
          <w:rFonts w:ascii="Times New Roman" w:eastAsia="標楷體" w:hAnsi="Times New Roman" w:cs="Times New Roman"/>
          <w:szCs w:val="24"/>
        </w:rPr>
        <w:t xml:space="preserve">citizens </w:t>
      </w:r>
      <w:r w:rsidRPr="00885A57">
        <w:rPr>
          <w:rFonts w:ascii="Times New Roman" w:eastAsia="標楷體" w:hAnsi="Times New Roman" w:cs="Times New Roman"/>
          <w:szCs w:val="24"/>
        </w:rPr>
        <w:t>was NT$39,191. The 2019 survey revealed that the labor participation rate of women with disabilities was still lower than that of their male counterparts but exhibited a 0.6</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increase compared with the survey results in 2016. The difference in the labor participation rate between women and men with disabilities decreased by 0.4</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from 11.2</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in 2016 to 10.8</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in 2019. Moreover, women with disabilities who had the capacity and willingness to work did not enter the labor market mostly because they did not find a satisfactory job, had the responsibility of household management and family care, or were subject to rehabilitation and treatment. The average monthly regular income of women with disabilities was 83.8</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that of men with disabilities, whereas that of </w:t>
      </w:r>
      <w:r w:rsidR="00B13DC0" w:rsidRPr="00885A57">
        <w:rPr>
          <w:rFonts w:ascii="Times New Roman" w:eastAsia="標楷體" w:hAnsi="Times New Roman" w:cs="Times New Roman"/>
          <w:szCs w:val="24"/>
        </w:rPr>
        <w:t xml:space="preserve">nondisabled </w:t>
      </w:r>
      <w:r w:rsidRPr="00885A57">
        <w:rPr>
          <w:rFonts w:ascii="Times New Roman" w:eastAsia="標楷體" w:hAnsi="Times New Roman" w:cs="Times New Roman"/>
          <w:szCs w:val="24"/>
        </w:rPr>
        <w:t>women was 85.5</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their male counterparts; hence, </w:t>
      </w:r>
      <w:r w:rsidRPr="00885A57">
        <w:rPr>
          <w:rFonts w:ascii="Times New Roman" w:eastAsia="標楷體" w:hAnsi="Times New Roman" w:cs="Times New Roman"/>
          <w:szCs w:val="24"/>
        </w:rPr>
        <w:lastRenderedPageBreak/>
        <w:t xml:space="preserve">statistics </w:t>
      </w:r>
      <w:r w:rsidR="007C45CA">
        <w:rPr>
          <w:rFonts w:ascii="Times New Roman" w:eastAsia="標楷體" w:hAnsi="Times New Roman" w:cs="Times New Roman"/>
          <w:szCs w:val="24"/>
        </w:rPr>
        <w:t xml:space="preserve">show </w:t>
      </w:r>
      <w:r w:rsidRPr="00885A57">
        <w:rPr>
          <w:rFonts w:ascii="Times New Roman" w:eastAsia="標楷體" w:hAnsi="Times New Roman" w:cs="Times New Roman"/>
          <w:szCs w:val="24"/>
        </w:rPr>
        <w:t>that the percentage was 1.7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lower among women with disabilities compared with </w:t>
      </w:r>
      <w:r w:rsidR="00B13DC0" w:rsidRPr="00885A57">
        <w:rPr>
          <w:rFonts w:ascii="Times New Roman" w:eastAsia="標楷體" w:hAnsi="Times New Roman" w:cs="Times New Roman"/>
          <w:szCs w:val="24"/>
        </w:rPr>
        <w:t xml:space="preserve">nondisabled </w:t>
      </w:r>
      <w:r w:rsidRPr="00885A57">
        <w:rPr>
          <w:rFonts w:ascii="Times New Roman" w:eastAsia="標楷體" w:hAnsi="Times New Roman" w:cs="Times New Roman"/>
          <w:szCs w:val="24"/>
        </w:rPr>
        <w:t xml:space="preserve">women. However, according to the 2016 </w:t>
      </w:r>
      <w:r w:rsidR="00F26F2D" w:rsidRPr="00885A57">
        <w:rPr>
          <w:rFonts w:ascii="Times New Roman" w:eastAsia="標楷體" w:hAnsi="Times New Roman" w:cs="Times New Roman"/>
          <w:szCs w:val="24"/>
        </w:rPr>
        <w:t>Disabled People’s Living Condition and Demand Survey</w:t>
      </w:r>
      <w:r w:rsidRPr="00885A57">
        <w:rPr>
          <w:rFonts w:ascii="Times New Roman" w:eastAsia="標楷體" w:hAnsi="Times New Roman" w:cs="Times New Roman"/>
          <w:szCs w:val="24"/>
        </w:rPr>
        <w:t>, the average monthly income of women with disabilities was only 79.2</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that of men with disabilities, representing a 4.6</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difference from the 83.8</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figure in 2019, thus suggesting that the income difference between men and women is decreasing year by year (Table 27.1).</w:t>
      </w:r>
    </w:p>
    <w:p w14:paraId="0F6AF4EB" w14:textId="657E65FB" w:rsidR="006916E0" w:rsidRPr="00885A57" w:rsidRDefault="001B2D6B" w:rsidP="001A2139">
      <w:pPr>
        <w:spacing w:after="120" w:line="360" w:lineRule="auto"/>
        <w:rPr>
          <w:rFonts w:ascii="Times New Roman" w:eastAsia="標楷體" w:hAnsi="Times New Roman" w:cs="Times New Roman"/>
          <w:szCs w:val="24"/>
        </w:rPr>
      </w:pPr>
      <w:r w:rsidRPr="00885A57">
        <w:rPr>
          <w:rFonts w:ascii="Times New Roman" w:eastAsia="標楷體" w:hAnsi="Times New Roman" w:cs="Times New Roman"/>
          <w:szCs w:val="24"/>
        </w:rPr>
        <w:t>A.  Vocational training and employment support</w:t>
      </w:r>
    </w:p>
    <w:p w14:paraId="67B11805" w14:textId="45BB1AF4" w:rsidR="006916E0" w:rsidRPr="003D32FE" w:rsidRDefault="001B2D6B"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71" w:name="_Ref55915650"/>
      <w:r w:rsidRPr="003D32FE">
        <w:rPr>
          <w:rFonts w:ascii="Times New Roman" w:eastAsia="標楷體" w:hAnsi="Times New Roman" w:cs="Times New Roman"/>
          <w:szCs w:val="24"/>
        </w:rPr>
        <w:t>According to industr</w:t>
      </w:r>
      <w:r w:rsidR="003D32FE">
        <w:rPr>
          <w:rFonts w:ascii="Times New Roman" w:eastAsia="標楷體" w:hAnsi="Times New Roman" w:cs="Times New Roman"/>
          <w:szCs w:val="24"/>
        </w:rPr>
        <w:t>y</w:t>
      </w:r>
      <w:r w:rsidRPr="003D32FE">
        <w:rPr>
          <w:rFonts w:ascii="Times New Roman" w:eastAsia="標楷體" w:hAnsi="Times New Roman" w:cs="Times New Roman"/>
          <w:szCs w:val="24"/>
        </w:rPr>
        <w:t xml:space="preserve"> characteristics, employment and human resource requirements, and occupations preferred by </w:t>
      </w:r>
      <w:r w:rsidRPr="003D32FE">
        <w:rPr>
          <w:rFonts w:ascii="Times New Roman" w:eastAsia="標楷體" w:hAnsi="Times New Roman" w:cs="Times New Roman"/>
          <w:kern w:val="0"/>
          <w:szCs w:val="24"/>
        </w:rPr>
        <w:t>people</w:t>
      </w:r>
      <w:r w:rsidRPr="003D32FE">
        <w:rPr>
          <w:rFonts w:ascii="Times New Roman" w:eastAsia="標楷體" w:hAnsi="Times New Roman" w:cs="Times New Roman"/>
          <w:szCs w:val="24"/>
        </w:rPr>
        <w:t xml:space="preserve"> with disabilities, the MOL hosts, commissions, </w:t>
      </w:r>
      <w:r w:rsidR="003D32FE">
        <w:rPr>
          <w:rFonts w:ascii="Times New Roman" w:eastAsia="標楷體" w:hAnsi="Times New Roman" w:cs="Times New Roman"/>
          <w:szCs w:val="24"/>
        </w:rPr>
        <w:t xml:space="preserve">and </w:t>
      </w:r>
      <w:r w:rsidRPr="003D32FE">
        <w:rPr>
          <w:rFonts w:ascii="Times New Roman" w:eastAsia="標楷體" w:hAnsi="Times New Roman" w:cs="Times New Roman"/>
          <w:szCs w:val="24"/>
        </w:rPr>
        <w:t xml:space="preserve">subsidizes vocational training programs. These training programs include cleaning and maintenance services, massage, culinary arts, information and computer science, materials processing, marketing communications, cosmetology and hairdressing, agronomy, textile design, and caregiving, and the aim is to improve the occupational competencies of </w:t>
      </w:r>
      <w:r w:rsidRPr="003D32FE">
        <w:rPr>
          <w:rFonts w:ascii="Times New Roman" w:eastAsia="標楷體" w:hAnsi="Times New Roman" w:cs="Times New Roman"/>
          <w:kern w:val="0"/>
          <w:szCs w:val="24"/>
        </w:rPr>
        <w:t>people</w:t>
      </w:r>
      <w:r w:rsidRPr="003D32FE">
        <w:rPr>
          <w:rFonts w:ascii="Times New Roman" w:eastAsia="標楷體" w:hAnsi="Times New Roman" w:cs="Times New Roman"/>
          <w:szCs w:val="24"/>
        </w:rPr>
        <w:t xml:space="preserve"> with disabilities and help them enter the labor market. To help </w:t>
      </w:r>
      <w:r w:rsidRPr="003D32FE">
        <w:rPr>
          <w:rFonts w:ascii="Times New Roman" w:eastAsia="標楷體" w:hAnsi="Times New Roman" w:cs="Times New Roman"/>
          <w:kern w:val="0"/>
          <w:szCs w:val="24"/>
        </w:rPr>
        <w:t>people</w:t>
      </w:r>
      <w:r w:rsidRPr="003D32FE">
        <w:rPr>
          <w:rFonts w:ascii="Times New Roman" w:eastAsia="標楷體" w:hAnsi="Times New Roman" w:cs="Times New Roman"/>
          <w:szCs w:val="24"/>
        </w:rPr>
        <w:t xml:space="preserve"> with disabilities attend training, the central government regards accessibility of the training venue as a bidding assessment indicator and hosts workshops for training personnel to understand the characteristics </w:t>
      </w:r>
      <w:r w:rsidR="003D32FE">
        <w:rPr>
          <w:rFonts w:ascii="Times New Roman" w:eastAsia="標楷體" w:hAnsi="Times New Roman" w:cs="Times New Roman"/>
          <w:szCs w:val="24"/>
        </w:rPr>
        <w:t xml:space="preserve">of </w:t>
      </w:r>
      <w:r w:rsidRPr="003D32FE">
        <w:rPr>
          <w:rFonts w:ascii="Times New Roman" w:eastAsia="標楷體" w:hAnsi="Times New Roman" w:cs="Times New Roman"/>
          <w:szCs w:val="24"/>
        </w:rPr>
        <w:t xml:space="preserve">and service resources </w:t>
      </w:r>
      <w:r w:rsidR="003D32FE">
        <w:rPr>
          <w:rFonts w:ascii="Times New Roman" w:eastAsia="標楷體" w:hAnsi="Times New Roman" w:cs="Times New Roman"/>
          <w:szCs w:val="24"/>
        </w:rPr>
        <w:t xml:space="preserve">needed by </w:t>
      </w:r>
      <w:r w:rsidRPr="003D32FE">
        <w:rPr>
          <w:rFonts w:ascii="Times New Roman" w:eastAsia="標楷體" w:hAnsi="Times New Roman" w:cs="Times New Roman"/>
          <w:kern w:val="0"/>
          <w:szCs w:val="24"/>
        </w:rPr>
        <w:t>people</w:t>
      </w:r>
      <w:r w:rsidRPr="003D32FE">
        <w:rPr>
          <w:rFonts w:ascii="Times New Roman" w:eastAsia="標楷體" w:hAnsi="Times New Roman" w:cs="Times New Roman"/>
          <w:szCs w:val="24"/>
        </w:rPr>
        <w:t xml:space="preserve"> with disabilities. Between 2016 and 2019, 46 training sessions were organized with 2,138 participants. Services including sign language interpretation and visual aids were provided for trainees with disabilities according to their needs. For those who could not or had difficulties attending </w:t>
      </w:r>
      <w:r w:rsidRPr="003D32FE">
        <w:rPr>
          <w:rFonts w:ascii="Times New Roman" w:eastAsia="標楷體" w:hAnsi="Times New Roman" w:cs="Times New Roman"/>
          <w:szCs w:val="24"/>
        </w:rPr>
        <w:lastRenderedPageBreak/>
        <w:t xml:space="preserve">training in person, an accessible e-learning website was established on which online courses were available, such as those offering instruction in computer science basics, web design, word processing, occupational skills, and certification, thereby providing various options for </w:t>
      </w:r>
      <w:r w:rsidRPr="003D32FE">
        <w:rPr>
          <w:rFonts w:ascii="Times New Roman" w:eastAsia="標楷體" w:hAnsi="Times New Roman" w:cs="Times New Roman"/>
          <w:kern w:val="0"/>
          <w:szCs w:val="24"/>
        </w:rPr>
        <w:t>people</w:t>
      </w:r>
      <w:r w:rsidRPr="003D32FE">
        <w:rPr>
          <w:rFonts w:ascii="Times New Roman" w:eastAsia="標楷體" w:hAnsi="Times New Roman" w:cs="Times New Roman"/>
          <w:szCs w:val="24"/>
        </w:rPr>
        <w:t xml:space="preserve"> with disabilities and helping them improve occupational competencies (Tables 27.3 and 27.4).</w:t>
      </w:r>
      <w:bookmarkEnd w:id="171"/>
      <w:r w:rsidRPr="003D32FE">
        <w:rPr>
          <w:rFonts w:ascii="Times New Roman" w:eastAsia="標楷體" w:hAnsi="Times New Roman" w:cs="Times New Roman"/>
          <w:vertAlign w:val="superscript"/>
        </w:rPr>
        <w:footnoteReference w:id="111"/>
      </w:r>
    </w:p>
    <w:p w14:paraId="3FA11388" w14:textId="1B8CBAFC" w:rsidR="00887645" w:rsidRPr="00885A57" w:rsidRDefault="001B2D6B"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Regarding employment support schemes for job applicants with disabilities, Taiwan has established more than 300 employment service offices to provide one-stop employment service, hosted employment promotion courses as well as job fairs and recruitment events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and offered employment information and job matching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on the website TaiwanJobs and its </w:t>
      </w:r>
      <w:r w:rsidRPr="00885A57">
        <w:rPr>
          <w:rFonts w:ascii="Times New Roman" w:eastAsia="標楷體" w:hAnsi="Times New Roman" w:cs="Times New Roman"/>
          <w:szCs w:val="24"/>
          <w:shd w:val="clear" w:color="auto" w:fill="FFFFFF"/>
        </w:rPr>
        <w:t xml:space="preserve">24-hour </w:t>
      </w:r>
      <w:r w:rsidRPr="00885A57">
        <w:rPr>
          <w:rFonts w:ascii="Times New Roman" w:eastAsia="標楷體" w:hAnsi="Times New Roman" w:cs="Times New Roman"/>
          <w:szCs w:val="24"/>
        </w:rPr>
        <w:t>free helpline 0800-777</w:t>
      </w:r>
      <w:r w:rsidR="003F6195">
        <w:rPr>
          <w:rFonts w:ascii="Times New Roman" w:eastAsia="標楷體" w:hAnsi="Times New Roman" w:cs="Times New Roman"/>
          <w:szCs w:val="24"/>
        </w:rPr>
        <w:t>-</w:t>
      </w:r>
      <w:r w:rsidRPr="00885A57">
        <w:rPr>
          <w:rFonts w:ascii="Times New Roman" w:eastAsia="標楷體" w:hAnsi="Times New Roman" w:cs="Times New Roman"/>
          <w:szCs w:val="24"/>
        </w:rPr>
        <w:t xml:space="preserve">888. These services helped 64,650 individuals find a job in </w:t>
      </w:r>
      <w:r w:rsidR="000E463F">
        <w:rPr>
          <w:rFonts w:ascii="Times New Roman" w:eastAsia="標楷體" w:hAnsi="Times New Roman" w:cs="Times New Roman"/>
          <w:szCs w:val="24"/>
        </w:rPr>
        <w:t xml:space="preserve">the period </w:t>
      </w:r>
      <w:r w:rsidRPr="00885A57">
        <w:rPr>
          <w:rFonts w:ascii="Times New Roman" w:eastAsia="標楷體" w:hAnsi="Times New Roman" w:cs="Times New Roman"/>
          <w:szCs w:val="24"/>
        </w:rPr>
        <w:t>2016</w:t>
      </w:r>
      <w:r w:rsidR="000E463F">
        <w:rPr>
          <w:rFonts w:ascii="Times New Roman" w:eastAsia="標楷體" w:hAnsi="Times New Roman" w:cs="Times New Roman"/>
          <w:szCs w:val="24"/>
        </w:rPr>
        <w:t>-</w:t>
      </w:r>
      <w:r w:rsidRPr="00885A57">
        <w:rPr>
          <w:rFonts w:ascii="Times New Roman" w:eastAsia="標楷體" w:hAnsi="Times New Roman" w:cs="Times New Roman"/>
          <w:szCs w:val="24"/>
        </w:rPr>
        <w:t xml:space="preserve">2019.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having difficulties in </w:t>
      </w:r>
      <w:r w:rsidR="000E463F">
        <w:rPr>
          <w:rFonts w:ascii="Times New Roman" w:eastAsia="標楷體" w:hAnsi="Times New Roman" w:cs="Times New Roman"/>
          <w:szCs w:val="24"/>
        </w:rPr>
        <w:t>finding a job</w:t>
      </w:r>
      <w:r w:rsidRPr="00885A57">
        <w:rPr>
          <w:rFonts w:ascii="Times New Roman" w:eastAsia="標楷體" w:hAnsi="Times New Roman" w:cs="Times New Roman"/>
          <w:szCs w:val="24"/>
        </w:rPr>
        <w:t xml:space="preserve">, Taiwan offers </w:t>
      </w:r>
      <w:r w:rsidR="001759AD" w:rsidRPr="00885A57">
        <w:rPr>
          <w:rFonts w:ascii="Times New Roman" w:eastAsia="標楷體" w:hAnsi="Times New Roman" w:cs="Times New Roman"/>
          <w:szCs w:val="24"/>
        </w:rPr>
        <w:t>job accommodation</w:t>
      </w:r>
      <w:r w:rsidRPr="00885A57">
        <w:rPr>
          <w:rFonts w:ascii="Times New Roman" w:eastAsia="標楷體" w:hAnsi="Times New Roman" w:cs="Times New Roman"/>
          <w:szCs w:val="24"/>
        </w:rPr>
        <w:t xml:space="preserve"> to </w:t>
      </w:r>
      <w:r w:rsidR="000E463F">
        <w:rPr>
          <w:rFonts w:ascii="Times New Roman" w:eastAsia="標楷體" w:hAnsi="Times New Roman" w:cs="Times New Roman"/>
          <w:szCs w:val="24"/>
        </w:rPr>
        <w:t xml:space="preserve">help them </w:t>
      </w:r>
      <w:r w:rsidRPr="00885A57">
        <w:rPr>
          <w:rFonts w:ascii="Times New Roman" w:eastAsia="標楷體" w:hAnsi="Times New Roman" w:cs="Times New Roman"/>
          <w:szCs w:val="24"/>
        </w:rPr>
        <w:t xml:space="preserve">overcome barriers to employment by facilitating case management </w:t>
      </w:r>
      <w:r w:rsidR="000E463F">
        <w:rPr>
          <w:rFonts w:ascii="Times New Roman" w:eastAsia="標楷體" w:hAnsi="Times New Roman" w:cs="Times New Roman"/>
          <w:szCs w:val="24"/>
        </w:rPr>
        <w:t xml:space="preserve">concerning </w:t>
      </w:r>
      <w:r w:rsidRPr="00885A57">
        <w:rPr>
          <w:rFonts w:ascii="Times New Roman" w:eastAsia="標楷體" w:hAnsi="Times New Roman" w:cs="Times New Roman"/>
          <w:szCs w:val="24"/>
        </w:rPr>
        <w:t xml:space="preserve">vocational rehabilitation, connecting and utilizing local service resources, hosting career preparation activities, and helping </w:t>
      </w:r>
      <w:r w:rsidR="000E463F">
        <w:rPr>
          <w:rFonts w:ascii="Times New Roman" w:eastAsia="標楷體" w:hAnsi="Times New Roman" w:cs="Times New Roman"/>
          <w:szCs w:val="24"/>
        </w:rPr>
        <w:t xml:space="preserve">individuals </w:t>
      </w:r>
      <w:r w:rsidRPr="00885A57">
        <w:rPr>
          <w:rFonts w:ascii="Times New Roman" w:eastAsia="標楷體" w:hAnsi="Times New Roman" w:cs="Times New Roman"/>
          <w:szCs w:val="24"/>
          <w:shd w:val="clear" w:color="auto" w:fill="FFFFFF"/>
        </w:rPr>
        <w:t>choose</w:t>
      </w:r>
      <w:r w:rsidRPr="00885A57">
        <w:rPr>
          <w:rFonts w:ascii="Times New Roman" w:eastAsia="標楷體" w:hAnsi="Times New Roman" w:cs="Times New Roman"/>
          <w:szCs w:val="24"/>
        </w:rPr>
        <w:t xml:space="preserve"> a career path using vocational assessment tools. Between 2016 and 2019, a total of 22,605 individuals found a job through </w:t>
      </w:r>
      <w:r w:rsidR="000E463F">
        <w:rPr>
          <w:rFonts w:ascii="Times New Roman" w:eastAsia="標楷體" w:hAnsi="Times New Roman" w:cs="Times New Roman"/>
          <w:szCs w:val="24"/>
        </w:rPr>
        <w:t xml:space="preserve">these </w:t>
      </w:r>
      <w:r w:rsidRPr="00885A57">
        <w:rPr>
          <w:rFonts w:ascii="Times New Roman" w:eastAsia="標楷體" w:hAnsi="Times New Roman" w:cs="Times New Roman"/>
          <w:szCs w:val="24"/>
        </w:rPr>
        <w:t>services (Table 27.5).</w:t>
      </w:r>
    </w:p>
    <w:p w14:paraId="0989D26A" w14:textId="00EE2952" w:rsidR="006916E0" w:rsidRPr="00885A57" w:rsidRDefault="001B2D6B"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72" w:name="_Ref55916159"/>
      <w:r w:rsidRPr="00885A57">
        <w:rPr>
          <w:rFonts w:ascii="Times New Roman" w:eastAsia="標楷體" w:hAnsi="Times New Roman" w:cs="Times New Roman"/>
          <w:szCs w:val="24"/>
        </w:rPr>
        <w:t xml:space="preserve">The 2007 amendment to the PDRPA defined a sheltered workshop as a workplace providing a work space for employees with disabilities, and local governments have promoted the establishment of these sheltered workshops, which are </w:t>
      </w:r>
      <w:r w:rsidRPr="00885A57">
        <w:rPr>
          <w:rFonts w:ascii="Times New Roman" w:eastAsia="標楷體" w:hAnsi="Times New Roman" w:cs="Times New Roman"/>
          <w:szCs w:val="24"/>
        </w:rPr>
        <w:lastRenderedPageBreak/>
        <w:t>distinguished from an isolated workplace. Sheltered employees work in an open, inclusive space. Nearly 70</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sheltered workshops are located in metropolitan areas, offering community-based jobs including catering, baking, product sales, car washing, and cleaning for people with disabilities. The pay of sheltered employees is set according to employee productivity, and relevant labor acts apply. For sheltered employees with improved competencies who are willing to compete in the labor market, sheltered workshops may provide job transfer services according to a work manual devised by the MOL in 2020. The ministry also provides a grant of NT$10,000 per person for sheltered employees who transition to the competitive labor market (Table 27.6).</w:t>
      </w:r>
      <w:bookmarkEnd w:id="172"/>
      <w:r w:rsidRPr="00885A57">
        <w:rPr>
          <w:rFonts w:ascii="Times New Roman" w:eastAsia="標楷體" w:hAnsi="Times New Roman" w:cs="Times New Roman"/>
          <w:vertAlign w:val="superscript"/>
        </w:rPr>
        <w:footnoteReference w:id="112"/>
      </w:r>
    </w:p>
    <w:p w14:paraId="74AB6290" w14:textId="4BB3E51D" w:rsidR="00947387" w:rsidRPr="00885A57" w:rsidRDefault="001B2D6B"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For the employment assistance for women with disabilities, please refer to Article 6</w:t>
      </w:r>
      <w:r w:rsidR="00EB454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Women with disabilities (Point </w:t>
      </w:r>
      <w:r w:rsidRPr="00885A57">
        <w:rPr>
          <w:rFonts w:ascii="Times New Roman" w:eastAsia="標楷體" w:hAnsi="Times New Roman" w:cs="Times New Roman"/>
          <w:szCs w:val="24"/>
        </w:rPr>
        <w:fldChar w:fldCharType="begin"/>
      </w:r>
      <w:r w:rsidRPr="00885A57">
        <w:rPr>
          <w:rFonts w:ascii="Times New Roman" w:eastAsia="標楷體" w:hAnsi="Times New Roman" w:cs="Times New Roman"/>
          <w:szCs w:val="24"/>
        </w:rPr>
        <w:instrText xml:space="preserve"> REF _Ref52031941 \r \h  \* MERGEFORMAT </w:instrText>
      </w:r>
      <w:r w:rsidRPr="00885A57">
        <w:rPr>
          <w:rFonts w:ascii="Times New Roman" w:eastAsia="標楷體" w:hAnsi="Times New Roman" w:cs="Times New Roman"/>
          <w:szCs w:val="24"/>
        </w:rPr>
      </w:r>
      <w:r w:rsidRPr="00885A57">
        <w:rPr>
          <w:rFonts w:ascii="Times New Roman" w:eastAsia="標楷體" w:hAnsi="Times New Roman" w:cs="Times New Roman"/>
          <w:szCs w:val="24"/>
        </w:rPr>
        <w:fldChar w:fldCharType="separate"/>
      </w:r>
      <w:r w:rsidR="00F00A73">
        <w:rPr>
          <w:rFonts w:ascii="Times New Roman" w:eastAsia="標楷體" w:hAnsi="Times New Roman" w:cs="Times New Roman"/>
          <w:szCs w:val="24"/>
        </w:rPr>
        <w:t>38</w:t>
      </w:r>
      <w:r w:rsidRPr="00885A57">
        <w:rPr>
          <w:rFonts w:ascii="Times New Roman" w:eastAsia="標楷體" w:hAnsi="Times New Roman" w:cs="Times New Roman"/>
          <w:szCs w:val="24"/>
        </w:rPr>
        <w:fldChar w:fldCharType="end"/>
      </w:r>
      <w:r w:rsidRPr="00885A57">
        <w:rPr>
          <w:rFonts w:ascii="Times New Roman" w:eastAsia="標楷體" w:hAnsi="Times New Roman" w:cs="Times New Roman"/>
          <w:szCs w:val="24"/>
        </w:rPr>
        <w:t>).</w:t>
      </w:r>
    </w:p>
    <w:p w14:paraId="532D79BD" w14:textId="068D7ADA" w:rsidR="00887645" w:rsidRPr="00885A57" w:rsidRDefault="001B2D6B" w:rsidP="00D17898">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help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overcome barriers to employment, the MOL developed the </w:t>
      </w:r>
      <w:r w:rsidRPr="002153DE">
        <w:rPr>
          <w:rFonts w:ascii="Times New Roman" w:eastAsia="標楷體" w:hAnsi="Times New Roman" w:cs="Times New Roman"/>
          <w:iCs/>
          <w:szCs w:val="24"/>
        </w:rPr>
        <w:t xml:space="preserve">Guidelines for Implementation and Subsidies of </w:t>
      </w:r>
      <w:r w:rsidR="001759AD" w:rsidRPr="002153DE">
        <w:rPr>
          <w:rFonts w:ascii="Times New Roman" w:eastAsia="標楷體" w:hAnsi="Times New Roman" w:cs="Times New Roman"/>
          <w:iCs/>
          <w:szCs w:val="24"/>
        </w:rPr>
        <w:t>Job Accommodation</w:t>
      </w:r>
      <w:r w:rsidRPr="002153DE">
        <w:rPr>
          <w:rFonts w:ascii="Times New Roman" w:eastAsia="標楷體" w:hAnsi="Times New Roman" w:cs="Times New Roman"/>
          <w:iCs/>
          <w:szCs w:val="24"/>
        </w:rPr>
        <w:t xml:space="preserve"> for </w:t>
      </w:r>
      <w:r w:rsidR="001759AD" w:rsidRPr="002153DE">
        <w:rPr>
          <w:rFonts w:ascii="Times New Roman" w:eastAsia="標楷體" w:hAnsi="Times New Roman" w:cs="Times New Roman"/>
          <w:iCs/>
          <w:kern w:val="0"/>
          <w:szCs w:val="24"/>
        </w:rPr>
        <w:t>P</w:t>
      </w:r>
      <w:r w:rsidRPr="002153DE">
        <w:rPr>
          <w:rFonts w:ascii="Times New Roman" w:eastAsia="標楷體" w:hAnsi="Times New Roman" w:cs="Times New Roman"/>
          <w:iCs/>
          <w:kern w:val="0"/>
          <w:szCs w:val="24"/>
        </w:rPr>
        <w:t>eople</w:t>
      </w:r>
      <w:r w:rsidRPr="002153DE">
        <w:rPr>
          <w:rFonts w:ascii="Times New Roman" w:eastAsia="標楷體" w:hAnsi="Times New Roman" w:cs="Times New Roman"/>
          <w:iCs/>
          <w:szCs w:val="24"/>
        </w:rPr>
        <w:t xml:space="preserve"> with Disabilities</w:t>
      </w:r>
      <w:r w:rsidRPr="00885A57">
        <w:rPr>
          <w:rFonts w:ascii="Times New Roman" w:eastAsia="標楷體" w:hAnsi="Times New Roman" w:cs="Times New Roman"/>
          <w:szCs w:val="24"/>
        </w:rPr>
        <w:t xml:space="preserve"> in accordance with the</w:t>
      </w:r>
      <w:r w:rsidRPr="00885A57">
        <w:rPr>
          <w:rFonts w:ascii="Times New Roman" w:eastAsia="標楷體" w:hAnsi="Times New Roman" w:cs="Times New Roman"/>
          <w:szCs w:val="24"/>
          <w:shd w:val="clear" w:color="auto" w:fill="FFFFFF"/>
        </w:rPr>
        <w:t xml:space="preserve"> PDRPA</w:t>
      </w:r>
      <w:r w:rsidRPr="00885A57">
        <w:rPr>
          <w:rFonts w:ascii="Times New Roman" w:eastAsia="標楷體" w:hAnsi="Times New Roman" w:cs="Times New Roman"/>
          <w:szCs w:val="24"/>
        </w:rPr>
        <w:t xml:space="preserve">. The guidelines cover </w:t>
      </w:r>
      <w:r w:rsidR="001759AD" w:rsidRPr="00885A57">
        <w:rPr>
          <w:rFonts w:ascii="Times New Roman" w:eastAsia="標楷體" w:hAnsi="Times New Roman" w:cs="Times New Roman"/>
          <w:szCs w:val="24"/>
        </w:rPr>
        <w:t>job accommodation</w:t>
      </w:r>
      <w:r w:rsidRPr="00885A57">
        <w:rPr>
          <w:rFonts w:ascii="Times New Roman" w:eastAsia="標楷體" w:hAnsi="Times New Roman" w:cs="Times New Roman"/>
          <w:szCs w:val="24"/>
        </w:rPr>
        <w:t xml:space="preserve"> as it relates to the aspects of workplace environment, facilities, and conditions; purchasing required assistive technologies for work; and adjusting </w:t>
      </w:r>
      <w:r w:rsidR="00EB4547">
        <w:rPr>
          <w:rFonts w:ascii="Times New Roman" w:eastAsia="標楷體" w:hAnsi="Times New Roman" w:cs="Times New Roman"/>
          <w:szCs w:val="24"/>
        </w:rPr>
        <w:t>work</w:t>
      </w:r>
      <w:r w:rsidR="00F03AAA">
        <w:rPr>
          <w:rFonts w:ascii="Times New Roman" w:eastAsia="標楷體" w:hAnsi="Times New Roman" w:cs="Times New Roman"/>
          <w:szCs w:val="24"/>
        </w:rPr>
        <w:t>ing</w:t>
      </w:r>
      <w:r w:rsidR="00EB4547">
        <w:rPr>
          <w:rFonts w:ascii="Times New Roman" w:eastAsia="標楷體" w:hAnsi="Times New Roman" w:cs="Times New Roman"/>
          <w:szCs w:val="24"/>
        </w:rPr>
        <w:t xml:space="preserve"> methods</w:t>
      </w:r>
      <w:r w:rsidRPr="00885A57">
        <w:rPr>
          <w:rFonts w:ascii="Times New Roman" w:eastAsia="標楷體" w:hAnsi="Times New Roman" w:cs="Times New Roman"/>
          <w:szCs w:val="24"/>
        </w:rPr>
        <w:t xml:space="preserve">. Upon application by employees with disabilities or their employers, the competent authority reviews written documents and pays a visit to the workplace. Each approved case may be granted a subsidy of NT$100,000 per year at maximum; this limitation does not </w:t>
      </w:r>
      <w:r w:rsidRPr="00885A57">
        <w:rPr>
          <w:rFonts w:ascii="Times New Roman" w:eastAsia="標楷體" w:hAnsi="Times New Roman" w:cs="Times New Roman"/>
          <w:szCs w:val="24"/>
        </w:rPr>
        <w:lastRenderedPageBreak/>
        <w:t xml:space="preserve">apply to cases where special needs are required and have been approved through project evaluation. Historical implementation of </w:t>
      </w:r>
      <w:r w:rsidR="001759AD" w:rsidRPr="00885A57">
        <w:rPr>
          <w:rFonts w:ascii="Times New Roman" w:eastAsia="標楷體" w:hAnsi="Times New Roman" w:cs="Times New Roman"/>
          <w:szCs w:val="24"/>
        </w:rPr>
        <w:t>job accommodation</w:t>
      </w:r>
      <w:r w:rsidRPr="00885A57">
        <w:rPr>
          <w:rFonts w:ascii="Times New Roman" w:eastAsia="標楷體" w:hAnsi="Times New Roman" w:cs="Times New Roman"/>
          <w:szCs w:val="24"/>
        </w:rPr>
        <w:t xml:space="preserve"> programs is detailed in Table 27.7. Since 2016, the MOL has been attending major expositions of health care assistive technologies in Taiwan and promoting such technologies through various media channels based on user experience. The ministry organizes a </w:t>
      </w:r>
      <w:r w:rsidR="001759AD" w:rsidRPr="00885A57">
        <w:rPr>
          <w:rFonts w:ascii="Times New Roman" w:eastAsia="標楷體" w:hAnsi="Times New Roman" w:cs="Times New Roman"/>
          <w:szCs w:val="24"/>
        </w:rPr>
        <w:t>job accommodation</w:t>
      </w:r>
      <w:r w:rsidRPr="00885A57">
        <w:rPr>
          <w:rFonts w:ascii="Times New Roman" w:eastAsia="標楷體" w:hAnsi="Times New Roman" w:cs="Times New Roman"/>
          <w:szCs w:val="24"/>
        </w:rPr>
        <w:t xml:space="preserve"> innovation competition once every two years to </w:t>
      </w:r>
      <w:r w:rsidR="00F03AAA">
        <w:rPr>
          <w:rFonts w:ascii="Times New Roman" w:eastAsia="標楷體" w:hAnsi="Times New Roman" w:cs="Times New Roman"/>
          <w:szCs w:val="24"/>
        </w:rPr>
        <w:t>help</w:t>
      </w:r>
      <w:r w:rsidR="00F03AAA"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the public </w:t>
      </w:r>
      <w:r w:rsidR="00F03AAA">
        <w:rPr>
          <w:rFonts w:ascii="Times New Roman" w:eastAsia="標楷體" w:hAnsi="Times New Roman" w:cs="Times New Roman"/>
          <w:szCs w:val="24"/>
        </w:rPr>
        <w:t xml:space="preserve">better </w:t>
      </w:r>
      <w:r w:rsidRPr="00885A57">
        <w:rPr>
          <w:rFonts w:ascii="Times New Roman" w:eastAsia="標楷體" w:hAnsi="Times New Roman" w:cs="Times New Roman"/>
          <w:szCs w:val="24"/>
        </w:rPr>
        <w:t xml:space="preserve">understand </w:t>
      </w:r>
      <w:r w:rsidR="001759AD" w:rsidRPr="00885A57">
        <w:rPr>
          <w:rFonts w:ascii="Times New Roman" w:eastAsia="標楷體" w:hAnsi="Times New Roman" w:cs="Times New Roman"/>
          <w:szCs w:val="24"/>
        </w:rPr>
        <w:t>job accommodation</w:t>
      </w:r>
      <w:r w:rsidRPr="00885A57">
        <w:rPr>
          <w:rFonts w:ascii="Times New Roman" w:eastAsia="標楷體" w:hAnsi="Times New Roman" w:cs="Times New Roman"/>
          <w:szCs w:val="24"/>
        </w:rPr>
        <w:t>.</w:t>
      </w:r>
    </w:p>
    <w:p w14:paraId="40214097" w14:textId="53103B6D" w:rsidR="00887645" w:rsidRPr="00885A57" w:rsidRDefault="005C0232"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73" w:name="_Ref55915876"/>
      <w:r w:rsidRPr="00885A57">
        <w:rPr>
          <w:rFonts w:ascii="Times New Roman" w:eastAsia="標楷體" w:hAnsi="Times New Roman" w:cs="Times New Roman"/>
          <w:szCs w:val="24"/>
        </w:rPr>
        <w:t xml:space="preserve">Through the Pilot Project of Career Transition and Counseling for College Students with Disabilities (between September 2018 and September 2021), the MOL integrates vocational assessment resources </w:t>
      </w:r>
      <w:r w:rsidR="00F03AAA">
        <w:rPr>
          <w:rFonts w:ascii="Times New Roman" w:eastAsia="標楷體" w:hAnsi="Times New Roman" w:cs="Times New Roman"/>
          <w:szCs w:val="24"/>
        </w:rPr>
        <w:t>at</w:t>
      </w:r>
      <w:r w:rsidR="00F03AAA"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city/county labor departments, performs vocational assessment based on case referral, and strengthens the connection between vocational rehabilitation services </w:t>
      </w:r>
      <w:r w:rsidR="00F03AAA">
        <w:rPr>
          <w:rFonts w:ascii="Times New Roman" w:eastAsia="標楷體" w:hAnsi="Times New Roman" w:cs="Times New Roman"/>
          <w:szCs w:val="24"/>
        </w:rPr>
        <w:t>at</w:t>
      </w:r>
      <w:r w:rsidR="00F03AAA"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each local government and college resource rooms. By doing so, the MOL seeks to develop an operational model of transition services for students with disabilities in higher education institutions, thereby helping them transition from school to workplace environments.</w:t>
      </w:r>
      <w:bookmarkEnd w:id="173"/>
      <w:r w:rsidRPr="00885A57">
        <w:rPr>
          <w:rStyle w:val="ab"/>
          <w:rFonts w:ascii="Times New Roman" w:eastAsia="標楷體" w:hAnsi="Times New Roman" w:cs="Times New Roman"/>
        </w:rPr>
        <w:footnoteReference w:id="113"/>
      </w:r>
    </w:p>
    <w:p w14:paraId="0AA814C0" w14:textId="35833363" w:rsidR="00887645" w:rsidRPr="00885A57" w:rsidRDefault="005C0232" w:rsidP="001A2139">
      <w:pPr>
        <w:pStyle w:val="a7"/>
        <w:numPr>
          <w:ilvl w:val="0"/>
          <w:numId w:val="45"/>
        </w:numPr>
        <w:spacing w:after="120" w:line="360" w:lineRule="auto"/>
        <w:ind w:leftChars="0" w:left="567" w:hanging="567"/>
        <w:jc w:val="both"/>
        <w:rPr>
          <w:rFonts w:ascii="Times New Roman" w:eastAsia="標楷體" w:hAnsi="Times New Roman" w:cs="Times New Roman"/>
          <w:bCs/>
          <w:szCs w:val="24"/>
        </w:rPr>
      </w:pPr>
      <w:r w:rsidRPr="00885A57">
        <w:rPr>
          <w:rFonts w:ascii="Times New Roman" w:eastAsia="標楷體" w:hAnsi="Times New Roman" w:cs="Times New Roman"/>
          <w:bCs/>
          <w:szCs w:val="24"/>
        </w:rPr>
        <w:t xml:space="preserve">Vocational counselors at vocational transition and guidance service centers of each region provide professional support such as interschool career transition counseling, development and evaluation of internship workplaces (including job analysis), and guidance for student internships and evaluations. The MOL connects </w:t>
      </w:r>
      <w:r w:rsidR="00F03AAA">
        <w:rPr>
          <w:rFonts w:ascii="Times New Roman" w:eastAsia="標楷體" w:hAnsi="Times New Roman" w:cs="Times New Roman"/>
          <w:bCs/>
          <w:szCs w:val="24"/>
        </w:rPr>
        <w:t xml:space="preserve">the </w:t>
      </w:r>
      <w:r w:rsidRPr="00885A57">
        <w:rPr>
          <w:rFonts w:ascii="Times New Roman" w:eastAsia="標楷體" w:hAnsi="Times New Roman" w:cs="Times New Roman"/>
          <w:bCs/>
          <w:szCs w:val="24"/>
        </w:rPr>
        <w:t xml:space="preserve">vocational rehabilitation services </w:t>
      </w:r>
      <w:r w:rsidR="00F03AAA">
        <w:rPr>
          <w:rFonts w:ascii="Times New Roman" w:eastAsia="標楷體" w:hAnsi="Times New Roman" w:cs="Times New Roman"/>
          <w:bCs/>
          <w:szCs w:val="24"/>
        </w:rPr>
        <w:t xml:space="preserve">provided by </w:t>
      </w:r>
      <w:r w:rsidRPr="00885A57">
        <w:rPr>
          <w:rFonts w:ascii="Times New Roman" w:eastAsia="標楷體" w:hAnsi="Times New Roman" w:cs="Times New Roman"/>
          <w:bCs/>
          <w:szCs w:val="24"/>
        </w:rPr>
        <w:t xml:space="preserve">local governments </w:t>
      </w:r>
      <w:r w:rsidRPr="00885A57">
        <w:rPr>
          <w:rFonts w:ascii="Times New Roman" w:eastAsia="標楷體" w:hAnsi="Times New Roman" w:cs="Times New Roman"/>
          <w:bCs/>
          <w:szCs w:val="24"/>
        </w:rPr>
        <w:lastRenderedPageBreak/>
        <w:t>with students for occupational competency assessments, shares information on post</w:t>
      </w:r>
      <w:r w:rsidR="00B542EE">
        <w:rPr>
          <w:rFonts w:ascii="Times New Roman" w:eastAsia="標楷體" w:hAnsi="Times New Roman" w:cs="Times New Roman"/>
          <w:bCs/>
          <w:szCs w:val="24"/>
        </w:rPr>
        <w:t>-</w:t>
      </w:r>
      <w:r w:rsidRPr="00885A57">
        <w:rPr>
          <w:rFonts w:ascii="Times New Roman" w:eastAsia="標楷體" w:hAnsi="Times New Roman" w:cs="Times New Roman"/>
          <w:bCs/>
          <w:szCs w:val="24"/>
        </w:rPr>
        <w:t xml:space="preserve">graduation job matching career transition and disability resources, and has established an online reporting system </w:t>
      </w:r>
      <w:r w:rsidR="00F03AAA">
        <w:rPr>
          <w:rFonts w:ascii="Times New Roman" w:eastAsia="標楷體" w:hAnsi="Times New Roman" w:cs="Times New Roman"/>
          <w:bCs/>
          <w:szCs w:val="24"/>
        </w:rPr>
        <w:t xml:space="preserve">for </w:t>
      </w:r>
      <w:r w:rsidRPr="00885A57">
        <w:rPr>
          <w:rFonts w:ascii="Times New Roman" w:eastAsia="標楷體" w:hAnsi="Times New Roman" w:cs="Times New Roman"/>
          <w:bCs/>
          <w:szCs w:val="24"/>
        </w:rPr>
        <w:t xml:space="preserve">vocational counseling. The aforementioned measures facilitate seamless </w:t>
      </w:r>
      <w:r w:rsidR="00F03AAA">
        <w:rPr>
          <w:rFonts w:ascii="Times New Roman" w:eastAsia="標楷體" w:hAnsi="Times New Roman" w:cs="Times New Roman"/>
          <w:bCs/>
          <w:szCs w:val="24"/>
        </w:rPr>
        <w:t xml:space="preserve">an </w:t>
      </w:r>
      <w:r w:rsidRPr="00885A57">
        <w:rPr>
          <w:rFonts w:ascii="Times New Roman" w:eastAsia="標楷體" w:hAnsi="Times New Roman" w:cs="Times New Roman"/>
          <w:bCs/>
          <w:szCs w:val="24"/>
        </w:rPr>
        <w:t>internship</w:t>
      </w:r>
      <w:r w:rsidRPr="00885A57">
        <w:rPr>
          <w:rFonts w:ascii="Times New Roman" w:eastAsia="標楷體" w:hAnsi="Times New Roman" w:cs="Times New Roman"/>
          <w:bCs/>
          <w:szCs w:val="24"/>
        </w:rPr>
        <w:softHyphen/>
      </w:r>
      <w:r w:rsidR="00F03AAA">
        <w:rPr>
          <w:rFonts w:ascii="Times New Roman" w:eastAsia="標楷體" w:hAnsi="Times New Roman" w:cs="Times New Roman"/>
          <w:bCs/>
          <w:szCs w:val="24"/>
        </w:rPr>
        <w:t>-to-</w:t>
      </w:r>
      <w:r w:rsidRPr="00885A57">
        <w:rPr>
          <w:rFonts w:ascii="Times New Roman" w:eastAsia="標楷體" w:hAnsi="Times New Roman" w:cs="Times New Roman"/>
          <w:bCs/>
          <w:szCs w:val="24"/>
        </w:rPr>
        <w:t>career transition for students and help vocational and senior high school students with disabilities adapt to society and the workplace.</w:t>
      </w:r>
    </w:p>
    <w:p w14:paraId="017C2FE2" w14:textId="032F1CF3" w:rsidR="001D7C4F" w:rsidRPr="00885A57" w:rsidRDefault="005C0232"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rPr>
        <w:t xml:space="preserve">In 2019, the </w:t>
      </w:r>
      <w:r w:rsidR="00F03AAA">
        <w:rPr>
          <w:rFonts w:ascii="Times New Roman" w:eastAsia="標楷體" w:hAnsi="Times New Roman" w:cs="Times New Roman"/>
        </w:rPr>
        <w:t xml:space="preserve">percentage </w:t>
      </w:r>
      <w:r w:rsidRPr="00885A57">
        <w:rPr>
          <w:rFonts w:ascii="Times New Roman" w:eastAsia="標楷體" w:hAnsi="Times New Roman" w:cs="Times New Roman"/>
        </w:rPr>
        <w:t>of male and female civil servants nationwide were 57.88</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and 42.12</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respectively; the </w:t>
      </w:r>
      <w:r w:rsidR="00F03AAA">
        <w:rPr>
          <w:rFonts w:ascii="Times New Roman" w:eastAsia="標楷體" w:hAnsi="Times New Roman" w:cs="Times New Roman"/>
        </w:rPr>
        <w:t xml:space="preserve">percentage </w:t>
      </w:r>
      <w:r w:rsidRPr="00885A57">
        <w:rPr>
          <w:rFonts w:ascii="Times New Roman" w:eastAsia="標楷體" w:hAnsi="Times New Roman" w:cs="Times New Roman"/>
        </w:rPr>
        <w:t>of male and female civil servants with disabilities were 63.41</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and 36.59</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respectively.</w:t>
      </w:r>
      <w:r w:rsidRPr="00885A57">
        <w:rPr>
          <w:rStyle w:val="ab"/>
          <w:rFonts w:ascii="Times New Roman" w:eastAsia="標楷體" w:hAnsi="Times New Roman" w:cs="Times New Roman"/>
        </w:rPr>
        <w:footnoteReference w:id="114"/>
      </w:r>
      <w:r w:rsidRPr="00885A57">
        <w:rPr>
          <w:rFonts w:ascii="Times New Roman" w:eastAsia="標楷體" w:hAnsi="Times New Roman" w:cs="Times New Roman"/>
        </w:rPr>
        <w:t xml:space="preserve"> </w:t>
      </w:r>
      <w:r w:rsidR="00F03AAA">
        <w:rPr>
          <w:rFonts w:ascii="Times New Roman" w:eastAsia="標楷體" w:hAnsi="Times New Roman" w:cs="Times New Roman"/>
        </w:rPr>
        <w:t xml:space="preserve">Having reviewed </w:t>
      </w:r>
      <w:r w:rsidRPr="00885A57">
        <w:rPr>
          <w:rFonts w:ascii="Times New Roman" w:eastAsia="標楷體" w:hAnsi="Times New Roman" w:cs="Times New Roman"/>
        </w:rPr>
        <w:t xml:space="preserve">data </w:t>
      </w:r>
      <w:r w:rsidR="00F03AAA">
        <w:rPr>
          <w:rFonts w:ascii="Times New Roman" w:eastAsia="標楷體" w:hAnsi="Times New Roman" w:cs="Times New Roman"/>
        </w:rPr>
        <w:t xml:space="preserve">covering the period 2010-2019 </w:t>
      </w:r>
      <w:r w:rsidRPr="00885A57">
        <w:rPr>
          <w:rFonts w:ascii="Times New Roman" w:eastAsia="標楷體" w:hAnsi="Times New Roman" w:cs="Times New Roman"/>
        </w:rPr>
        <w:t xml:space="preserve">on civil servants with disabilities, Taiwan continues to host a special examination of civil servants to safeguard opportunities for people with disabilities to be recruited by </w:t>
      </w:r>
      <w:r w:rsidR="003E6F92">
        <w:rPr>
          <w:rFonts w:ascii="Times New Roman" w:eastAsia="標楷體" w:hAnsi="Times New Roman" w:cs="Times New Roman"/>
        </w:rPr>
        <w:t>government</w:t>
      </w:r>
      <w:r w:rsidRPr="00885A57">
        <w:rPr>
          <w:rFonts w:ascii="Times New Roman" w:eastAsia="標楷體" w:hAnsi="Times New Roman" w:cs="Times New Roman"/>
        </w:rPr>
        <w:t xml:space="preserve"> agencies and perform corresponding duties. The exam </w:t>
      </w:r>
      <w:r w:rsidR="00F03AAA">
        <w:rPr>
          <w:rFonts w:ascii="Times New Roman" w:eastAsia="標楷體" w:hAnsi="Times New Roman" w:cs="Times New Roman"/>
        </w:rPr>
        <w:t xml:space="preserve">pass </w:t>
      </w:r>
      <w:r w:rsidRPr="00885A57">
        <w:rPr>
          <w:rFonts w:ascii="Times New Roman" w:eastAsia="標楷體" w:hAnsi="Times New Roman" w:cs="Times New Roman"/>
        </w:rPr>
        <w:t>rate increased from 28.43</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in 2010 to 41.36</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in 2019, an increase of 12.93</w:t>
      </w:r>
      <w:r w:rsidR="00787A2A">
        <w:rPr>
          <w:rFonts w:ascii="Times New Roman" w:eastAsia="標楷體" w:hAnsi="Times New Roman" w:cs="Times New Roman"/>
        </w:rPr>
        <w:t xml:space="preserve"> percent</w:t>
      </w:r>
      <w:r w:rsidR="00F03AAA">
        <w:rPr>
          <w:rFonts w:ascii="Times New Roman" w:eastAsia="標楷體" w:hAnsi="Times New Roman" w:cs="Times New Roman"/>
        </w:rPr>
        <w:t>age points</w:t>
      </w:r>
      <w:r w:rsidRPr="00885A57">
        <w:rPr>
          <w:rFonts w:ascii="Times New Roman" w:eastAsia="標楷體" w:hAnsi="Times New Roman" w:cs="Times New Roman"/>
        </w:rPr>
        <w:t>. The percentage of employees with disabilities recruited through senior-level civil service examinations has gradually increased from 8.94</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in 2010 to 9.21</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in 2019. Among contract workers nationwide, people with disabilities accounted for 1.10</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(men = 53.37</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women = 46.63</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Among contracted employees nationwide, people with disabilities accounted for 5.60</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(men = 39.51</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women = 60.49</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Table 27.8).</w:t>
      </w:r>
    </w:p>
    <w:p w14:paraId="513FF6FC" w14:textId="2B70309B" w:rsidR="00F13032" w:rsidRPr="00885A57" w:rsidRDefault="005C0232"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In the past decade, the number of civil servants nationwide has increased by 0.62</w:t>
      </w:r>
      <w:r w:rsidR="00787A2A">
        <w:rPr>
          <w:rFonts w:ascii="Times New Roman" w:eastAsia="標楷體" w:hAnsi="Times New Roman" w:cs="Times New Roman"/>
          <w:szCs w:val="24"/>
        </w:rPr>
        <w:t xml:space="preserve"> </w:t>
      </w:r>
      <w:r w:rsidR="00787A2A">
        <w:rPr>
          <w:rFonts w:ascii="Times New Roman" w:eastAsia="標楷體" w:hAnsi="Times New Roman" w:cs="Times New Roman"/>
          <w:szCs w:val="24"/>
        </w:rPr>
        <w:lastRenderedPageBreak/>
        <w:t>percent</w:t>
      </w:r>
      <w:r w:rsidRPr="00885A57">
        <w:rPr>
          <w:rFonts w:ascii="Times New Roman" w:eastAsia="標楷體" w:hAnsi="Times New Roman" w:cs="Times New Roman"/>
          <w:szCs w:val="24"/>
        </w:rPr>
        <w:t xml:space="preserve"> every year on average (men = −0.03</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women = 1.58</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that of civil servants with disabilities has increased by 3.24</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(men = 3.16</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women = 3.36</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Among them, those with chronic mental health conditions have attained the highest annual growth rate of 12.29</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on average (men = 11.71</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women = 13.20</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followed by those with visual impairment, with a rate of 9.66</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and those with vocal and speech impairment, facial disfigurement, and hearing impairment, with rates of 5.91</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5.54</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and 4.65</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respectively (Table 27.9).</w:t>
      </w:r>
    </w:p>
    <w:p w14:paraId="11673B4A" w14:textId="557E2A5C" w:rsidR="00575DC9" w:rsidRPr="00885A57" w:rsidRDefault="005C0232" w:rsidP="00D17898">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Orientation</w:t>
      </w:r>
      <w:r w:rsidR="00372F4F">
        <w:rPr>
          <w:rFonts w:ascii="Times New Roman" w:eastAsia="標楷體" w:hAnsi="Times New Roman" w:cs="Times New Roman"/>
          <w:szCs w:val="24"/>
        </w:rPr>
        <w:t xml:space="preserve"> session</w:t>
      </w:r>
      <w:r w:rsidRPr="00885A57">
        <w:rPr>
          <w:rFonts w:ascii="Times New Roman" w:eastAsia="標楷體" w:hAnsi="Times New Roman" w:cs="Times New Roman"/>
          <w:szCs w:val="24"/>
        </w:rPr>
        <w:t xml:space="preserve">s </w:t>
      </w:r>
      <w:r w:rsidR="00372F4F">
        <w:rPr>
          <w:rFonts w:ascii="Times New Roman" w:eastAsia="標楷體" w:hAnsi="Times New Roman" w:cs="Times New Roman"/>
          <w:szCs w:val="24"/>
        </w:rPr>
        <w:t>(</w:t>
      </w:r>
      <w:r w:rsidRPr="00885A57">
        <w:rPr>
          <w:rFonts w:ascii="Times New Roman" w:eastAsia="標楷體" w:hAnsi="Times New Roman" w:cs="Times New Roman"/>
          <w:szCs w:val="24"/>
        </w:rPr>
        <w:t>with accessible tutorials</w:t>
      </w:r>
      <w:r w:rsidR="00372F4F">
        <w:rPr>
          <w:rFonts w:ascii="Times New Roman" w:eastAsia="標楷體" w:hAnsi="Times New Roman" w:cs="Times New Roman"/>
          <w:szCs w:val="24"/>
        </w:rPr>
        <w:t>)</w:t>
      </w:r>
      <w:r w:rsidRPr="00885A57">
        <w:rPr>
          <w:rFonts w:ascii="Times New Roman" w:eastAsia="標楷體" w:hAnsi="Times New Roman" w:cs="Times New Roman"/>
          <w:szCs w:val="24"/>
        </w:rPr>
        <w:t xml:space="preserve"> are provided to help examinees with disabilities who have passed national examinations fill out a preference list that indicates their interest in working </w:t>
      </w:r>
      <w:r w:rsidR="00372F4F">
        <w:rPr>
          <w:rFonts w:ascii="Times New Roman" w:eastAsia="標楷體" w:hAnsi="Times New Roman" w:cs="Times New Roman"/>
          <w:szCs w:val="24"/>
        </w:rPr>
        <w:t xml:space="preserve">for </w:t>
      </w:r>
      <w:r w:rsidRPr="00885A57">
        <w:rPr>
          <w:rFonts w:ascii="Times New Roman" w:eastAsia="標楷體" w:hAnsi="Times New Roman" w:cs="Times New Roman"/>
          <w:szCs w:val="24"/>
        </w:rPr>
        <w:t xml:space="preserve">specific </w:t>
      </w:r>
      <w:r w:rsidR="003E6F92">
        <w:rPr>
          <w:rFonts w:ascii="Times New Roman" w:eastAsia="標楷體" w:hAnsi="Times New Roman" w:cs="Times New Roman"/>
          <w:szCs w:val="24"/>
        </w:rPr>
        <w:t>government</w:t>
      </w:r>
      <w:r w:rsidRPr="00885A57">
        <w:rPr>
          <w:rFonts w:ascii="Times New Roman" w:eastAsia="標楷體" w:hAnsi="Times New Roman" w:cs="Times New Roman"/>
          <w:szCs w:val="24"/>
        </w:rPr>
        <w:t xml:space="preserve"> departments. This assists examinees in adapting to </w:t>
      </w:r>
      <w:r w:rsidR="00372F4F">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workplace. Both online and written preference forms are available, ensuring the rights of qualified individuals who cannot use computers and the </w:t>
      </w:r>
      <w:r w:rsidR="00372F4F">
        <w:rPr>
          <w:rFonts w:ascii="Times New Roman" w:eastAsia="標楷體" w:hAnsi="Times New Roman" w:cs="Times New Roman"/>
          <w:szCs w:val="24"/>
        </w:rPr>
        <w:t>i</w:t>
      </w:r>
      <w:r w:rsidRPr="00885A57">
        <w:rPr>
          <w:rFonts w:ascii="Times New Roman" w:eastAsia="標楷體" w:hAnsi="Times New Roman" w:cs="Times New Roman"/>
          <w:szCs w:val="24"/>
        </w:rPr>
        <w:t xml:space="preserve">nternet. The </w:t>
      </w:r>
      <w:r w:rsidRPr="002153DE">
        <w:rPr>
          <w:rFonts w:ascii="Times New Roman" w:eastAsia="標楷體" w:hAnsi="Times New Roman" w:cs="Times New Roman"/>
          <w:iCs/>
          <w:szCs w:val="24"/>
        </w:rPr>
        <w:t>Manual of Workplace Support and Reminder Guidelines for People with Disabilities Who Have Passed the Special Civil Service Examination</w:t>
      </w:r>
      <w:r w:rsidRPr="00885A57">
        <w:rPr>
          <w:rFonts w:ascii="Times New Roman" w:eastAsia="標楷體" w:hAnsi="Times New Roman" w:cs="Times New Roman"/>
          <w:szCs w:val="24"/>
        </w:rPr>
        <w:t xml:space="preserve"> has been developed and updated for other authorities’ reference. The Ministry of Examination also organizes training for employing agencies, with the aim of promoting an understanding of the characteristics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w:t>
      </w:r>
      <w:r w:rsidR="001759AD" w:rsidRPr="00885A57">
        <w:rPr>
          <w:rFonts w:ascii="Times New Roman" w:eastAsia="標楷體" w:hAnsi="Times New Roman" w:cs="Times New Roman"/>
          <w:szCs w:val="24"/>
        </w:rPr>
        <w:t>job accommodation</w:t>
      </w:r>
      <w:r w:rsidRPr="00885A57">
        <w:rPr>
          <w:rFonts w:ascii="Times New Roman" w:eastAsia="標楷體" w:hAnsi="Times New Roman" w:cs="Times New Roman"/>
          <w:szCs w:val="24"/>
        </w:rPr>
        <w:t>, and the concept of reasonable accommodation, attracting more than 1,200 trainees in the 2015</w:t>
      </w:r>
      <w:r w:rsidR="00372F4F">
        <w:rPr>
          <w:rFonts w:ascii="Times New Roman" w:eastAsia="標楷體" w:hAnsi="Times New Roman" w:cs="Times New Roman"/>
          <w:szCs w:val="24"/>
        </w:rPr>
        <w:t>-</w:t>
      </w:r>
      <w:r w:rsidRPr="00885A57">
        <w:rPr>
          <w:rFonts w:ascii="Times New Roman" w:eastAsia="標楷體" w:hAnsi="Times New Roman" w:cs="Times New Roman"/>
          <w:szCs w:val="24"/>
        </w:rPr>
        <w:t xml:space="preserve">2019 period. Qualified individuals, before </w:t>
      </w:r>
      <w:r w:rsidR="00372F4F">
        <w:rPr>
          <w:rFonts w:ascii="Times New Roman" w:eastAsia="標楷體" w:hAnsi="Times New Roman" w:cs="Times New Roman"/>
          <w:szCs w:val="24"/>
        </w:rPr>
        <w:t xml:space="preserve">becoming qualified </w:t>
      </w:r>
      <w:r w:rsidRPr="00885A57">
        <w:rPr>
          <w:rFonts w:ascii="Times New Roman" w:eastAsia="標楷體" w:hAnsi="Times New Roman" w:cs="Times New Roman"/>
          <w:szCs w:val="24"/>
        </w:rPr>
        <w:t>civil servant</w:t>
      </w:r>
      <w:r w:rsidR="00372F4F">
        <w:rPr>
          <w:rFonts w:ascii="Times New Roman" w:eastAsia="標楷體" w:hAnsi="Times New Roman" w:cs="Times New Roman"/>
          <w:szCs w:val="24"/>
        </w:rPr>
        <w:t>s</w:t>
      </w:r>
      <w:r w:rsidRPr="00885A57">
        <w:rPr>
          <w:rFonts w:ascii="Times New Roman" w:eastAsia="標楷體" w:hAnsi="Times New Roman" w:cs="Times New Roman"/>
          <w:szCs w:val="24"/>
        </w:rPr>
        <w:t xml:space="preserve">, must receive </w:t>
      </w:r>
      <w:r w:rsidR="00372F4F">
        <w:rPr>
          <w:rFonts w:ascii="Times New Roman" w:eastAsia="標楷體" w:hAnsi="Times New Roman" w:cs="Times New Roman"/>
          <w:szCs w:val="24"/>
        </w:rPr>
        <w:t xml:space="preserve">four months of </w:t>
      </w:r>
      <w:r w:rsidRPr="00885A57">
        <w:rPr>
          <w:rFonts w:ascii="Times New Roman" w:eastAsia="標楷體" w:hAnsi="Times New Roman" w:cs="Times New Roman"/>
          <w:szCs w:val="24"/>
        </w:rPr>
        <w:t xml:space="preserve">practical training. The MOL, to help qualified examinees adapt to their job at the authority where they are assigned for training, requests </w:t>
      </w:r>
      <w:r w:rsidR="00372F4F">
        <w:rPr>
          <w:rFonts w:ascii="Times New Roman" w:eastAsia="標楷體" w:hAnsi="Times New Roman" w:cs="Times New Roman"/>
          <w:szCs w:val="24"/>
        </w:rPr>
        <w:t xml:space="preserve">that </w:t>
      </w:r>
      <w:r w:rsidRPr="00885A57">
        <w:rPr>
          <w:rFonts w:ascii="Times New Roman" w:eastAsia="標楷體" w:hAnsi="Times New Roman" w:cs="Times New Roman"/>
          <w:szCs w:val="24"/>
        </w:rPr>
        <w:t xml:space="preserve">local </w:t>
      </w:r>
      <w:r w:rsidRPr="00885A57">
        <w:rPr>
          <w:rFonts w:ascii="Times New Roman" w:eastAsia="標楷體" w:hAnsi="Times New Roman" w:cs="Times New Roman"/>
          <w:szCs w:val="24"/>
        </w:rPr>
        <w:lastRenderedPageBreak/>
        <w:t xml:space="preserve">vocational rehabilitation personnel actively determine their work status, identify their requirements, and provide corresponding services. The ministry cooperated with the Civil Servant Protection and Training Commission to conduct field surveys, reporting that the passage rate of qualified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in practical training was 99.3</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in 2015</w:t>
      </w:r>
      <w:r w:rsidR="00372F4F">
        <w:rPr>
          <w:rFonts w:ascii="Times New Roman" w:eastAsia="標楷體" w:hAnsi="Times New Roman" w:cs="Times New Roman"/>
          <w:szCs w:val="24"/>
        </w:rPr>
        <w:t>-</w:t>
      </w:r>
      <w:r w:rsidRPr="00885A57">
        <w:rPr>
          <w:rFonts w:ascii="Times New Roman" w:eastAsia="標楷體" w:hAnsi="Times New Roman" w:cs="Times New Roman"/>
          <w:szCs w:val="24"/>
        </w:rPr>
        <w:t>2019.</w:t>
      </w:r>
    </w:p>
    <w:p w14:paraId="6090CD81" w14:textId="683A11FB" w:rsidR="003017A7" w:rsidRPr="00885A57" w:rsidRDefault="005C0232"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All authorities may provide necessary support and assistance for civil servants with disabilities pursuant to the PDRPA, </w:t>
      </w:r>
      <w:r w:rsidRPr="002153DE">
        <w:rPr>
          <w:rFonts w:ascii="Times New Roman" w:eastAsia="標楷體" w:hAnsi="Times New Roman" w:cs="Times New Roman"/>
          <w:iCs/>
          <w:szCs w:val="24"/>
        </w:rPr>
        <w:t xml:space="preserve">Guidelines for Implementation and Subsidies of </w:t>
      </w:r>
      <w:r w:rsidR="001759AD" w:rsidRPr="002153DE">
        <w:rPr>
          <w:rFonts w:ascii="Times New Roman" w:eastAsia="標楷體" w:hAnsi="Times New Roman" w:cs="Times New Roman"/>
          <w:iCs/>
          <w:szCs w:val="24"/>
        </w:rPr>
        <w:t xml:space="preserve">Job </w:t>
      </w:r>
      <w:r w:rsidR="004F26DE" w:rsidRPr="002153DE">
        <w:rPr>
          <w:rFonts w:ascii="Times New Roman" w:eastAsia="標楷體" w:hAnsi="Times New Roman" w:cs="Times New Roman"/>
          <w:iCs/>
          <w:szCs w:val="24"/>
        </w:rPr>
        <w:t>A</w:t>
      </w:r>
      <w:r w:rsidR="001759AD" w:rsidRPr="002153DE">
        <w:rPr>
          <w:rFonts w:ascii="Times New Roman" w:eastAsia="標楷體" w:hAnsi="Times New Roman" w:cs="Times New Roman"/>
          <w:iCs/>
          <w:szCs w:val="24"/>
        </w:rPr>
        <w:t>ccommodation</w:t>
      </w:r>
      <w:r w:rsidRPr="002153DE">
        <w:rPr>
          <w:rFonts w:ascii="Times New Roman" w:eastAsia="標楷體" w:hAnsi="Times New Roman" w:cs="Times New Roman"/>
          <w:iCs/>
          <w:szCs w:val="24"/>
        </w:rPr>
        <w:t xml:space="preserve"> for </w:t>
      </w:r>
      <w:r w:rsidR="004F26DE" w:rsidRPr="002153DE">
        <w:rPr>
          <w:rFonts w:ascii="Times New Roman" w:eastAsia="標楷體" w:hAnsi="Times New Roman" w:cs="Times New Roman"/>
          <w:iCs/>
          <w:kern w:val="0"/>
          <w:szCs w:val="24"/>
        </w:rPr>
        <w:t>P</w:t>
      </w:r>
      <w:r w:rsidRPr="002153DE">
        <w:rPr>
          <w:rFonts w:ascii="Times New Roman" w:eastAsia="標楷體" w:hAnsi="Times New Roman" w:cs="Times New Roman"/>
          <w:iCs/>
          <w:kern w:val="0"/>
          <w:szCs w:val="24"/>
        </w:rPr>
        <w:t>eople</w:t>
      </w:r>
      <w:r w:rsidRPr="002153DE">
        <w:rPr>
          <w:rFonts w:ascii="Times New Roman" w:eastAsia="標楷體" w:hAnsi="Times New Roman" w:cs="Times New Roman"/>
          <w:iCs/>
          <w:szCs w:val="24"/>
        </w:rPr>
        <w:t xml:space="preserve"> with Disabilities</w:t>
      </w:r>
      <w:r w:rsidRPr="00885A57">
        <w:rPr>
          <w:rFonts w:ascii="Times New Roman" w:eastAsia="標楷體" w:hAnsi="Times New Roman" w:cs="Times New Roman"/>
          <w:szCs w:val="24"/>
        </w:rPr>
        <w:t xml:space="preserve">, and </w:t>
      </w:r>
      <w:r w:rsidRPr="002153DE">
        <w:rPr>
          <w:rFonts w:ascii="Times New Roman" w:eastAsia="標楷體" w:hAnsi="Times New Roman" w:cs="Times New Roman"/>
          <w:iCs/>
          <w:szCs w:val="24"/>
        </w:rPr>
        <w:t xml:space="preserve">Directions Governing the Recruitment of </w:t>
      </w:r>
      <w:r w:rsidR="004F26DE" w:rsidRPr="002153DE">
        <w:rPr>
          <w:rFonts w:ascii="Times New Roman" w:eastAsia="標楷體" w:hAnsi="Times New Roman" w:cs="Times New Roman"/>
          <w:iCs/>
          <w:kern w:val="0"/>
          <w:szCs w:val="24"/>
        </w:rPr>
        <w:t>P</w:t>
      </w:r>
      <w:r w:rsidRPr="002153DE">
        <w:rPr>
          <w:rFonts w:ascii="Times New Roman" w:eastAsia="標楷體" w:hAnsi="Times New Roman" w:cs="Times New Roman"/>
          <w:iCs/>
          <w:kern w:val="0"/>
          <w:szCs w:val="24"/>
        </w:rPr>
        <w:t>eople</w:t>
      </w:r>
      <w:r w:rsidRPr="002153DE">
        <w:rPr>
          <w:rFonts w:ascii="Times New Roman" w:eastAsia="標楷體" w:hAnsi="Times New Roman" w:cs="Times New Roman"/>
          <w:iCs/>
          <w:szCs w:val="24"/>
        </w:rPr>
        <w:t xml:space="preserve"> with Disabilities</w:t>
      </w:r>
      <w:r w:rsidRPr="00885A57">
        <w:rPr>
          <w:rFonts w:ascii="Times New Roman" w:eastAsia="標楷體" w:hAnsi="Times New Roman" w:cs="Times New Roman"/>
          <w:szCs w:val="24"/>
        </w:rPr>
        <w:t xml:space="preserve">. </w:t>
      </w:r>
      <w:r w:rsidR="00CD422F">
        <w:rPr>
          <w:rFonts w:ascii="Times New Roman" w:eastAsia="標楷體" w:hAnsi="Times New Roman" w:cs="Times New Roman"/>
          <w:szCs w:val="24"/>
        </w:rPr>
        <w:t>A</w:t>
      </w:r>
      <w:r w:rsidRPr="00885A57">
        <w:rPr>
          <w:rFonts w:ascii="Times New Roman" w:eastAsia="標楷體" w:hAnsi="Times New Roman" w:cs="Times New Roman"/>
          <w:szCs w:val="24"/>
        </w:rPr>
        <w:t xml:space="preserve">gencies, by considering their organizational resources and staff needs per the Employee Assistant Program of the Executive Yuan and Its Subordinate Agencies, may </w:t>
      </w:r>
      <w:r w:rsidR="00CD422F">
        <w:rPr>
          <w:rFonts w:ascii="Times New Roman" w:eastAsia="標楷體" w:hAnsi="Times New Roman" w:cs="Times New Roman"/>
          <w:szCs w:val="24"/>
        </w:rPr>
        <w:t>d</w:t>
      </w:r>
      <w:r w:rsidRPr="00885A57">
        <w:rPr>
          <w:rFonts w:ascii="Times New Roman" w:eastAsia="標楷體" w:hAnsi="Times New Roman" w:cs="Times New Roman"/>
          <w:szCs w:val="24"/>
        </w:rPr>
        <w:t xml:space="preserve">evelop </w:t>
      </w:r>
      <w:r w:rsidR="00CD422F">
        <w:rPr>
          <w:rFonts w:ascii="Times New Roman" w:eastAsia="標楷體" w:hAnsi="Times New Roman" w:cs="Times New Roman"/>
          <w:szCs w:val="24"/>
        </w:rPr>
        <w:t xml:space="preserve">their own </w:t>
      </w:r>
      <w:r w:rsidRPr="00885A57">
        <w:rPr>
          <w:rFonts w:ascii="Times New Roman" w:eastAsia="標楷體" w:hAnsi="Times New Roman" w:cs="Times New Roman"/>
          <w:szCs w:val="24"/>
        </w:rPr>
        <w:t xml:space="preserve">programs and services to assist their employees. Where relevant resources are insufficient, </w:t>
      </w:r>
      <w:r w:rsidR="00CD422F">
        <w:rPr>
          <w:rFonts w:ascii="Times New Roman" w:eastAsia="標楷體" w:hAnsi="Times New Roman" w:cs="Times New Roman"/>
          <w:szCs w:val="24"/>
        </w:rPr>
        <w:t xml:space="preserve">an </w:t>
      </w:r>
      <w:r w:rsidRPr="00885A57">
        <w:rPr>
          <w:rFonts w:ascii="Times New Roman" w:eastAsia="標楷體" w:hAnsi="Times New Roman" w:cs="Times New Roman"/>
          <w:szCs w:val="24"/>
        </w:rPr>
        <w:t xml:space="preserve">employing agency may consult representative organizations of the person in question </w:t>
      </w:r>
      <w:r w:rsidR="00CD422F">
        <w:rPr>
          <w:rFonts w:ascii="Times New Roman" w:eastAsia="標楷體" w:hAnsi="Times New Roman" w:cs="Times New Roman"/>
          <w:szCs w:val="24"/>
        </w:rPr>
        <w:t xml:space="preserve">depending on the difficulties encountered vis-à-vis </w:t>
      </w:r>
      <w:r w:rsidRPr="00885A57">
        <w:rPr>
          <w:rFonts w:ascii="Times New Roman" w:eastAsia="標楷體" w:hAnsi="Times New Roman" w:cs="Times New Roman"/>
          <w:szCs w:val="24"/>
        </w:rPr>
        <w:t>his/her disability</w:t>
      </w:r>
      <w:r w:rsidR="00CD422F">
        <w:rPr>
          <w:rFonts w:ascii="Times New Roman" w:eastAsia="標楷體" w:hAnsi="Times New Roman" w:cs="Times New Roman"/>
          <w:szCs w:val="24"/>
        </w:rPr>
        <w:t xml:space="preserve"> and introduce </w:t>
      </w:r>
      <w:r w:rsidRPr="00885A57">
        <w:rPr>
          <w:rFonts w:ascii="Times New Roman" w:eastAsia="標楷體" w:hAnsi="Times New Roman" w:cs="Times New Roman"/>
          <w:szCs w:val="24"/>
        </w:rPr>
        <w:t>appropriate support.</w:t>
      </w:r>
    </w:p>
    <w:p w14:paraId="2E28C7EC" w14:textId="2F604CBA" w:rsidR="007969DA" w:rsidRPr="00885A57" w:rsidRDefault="005C0232" w:rsidP="001A2139">
      <w:pPr>
        <w:spacing w:after="120" w:line="360" w:lineRule="auto"/>
        <w:rPr>
          <w:rFonts w:ascii="Times New Roman" w:eastAsia="標楷體" w:hAnsi="Times New Roman" w:cs="Times New Roman"/>
          <w:szCs w:val="28"/>
        </w:rPr>
      </w:pPr>
      <w:r w:rsidRPr="00885A57">
        <w:rPr>
          <w:rFonts w:ascii="Times New Roman" w:eastAsia="標楷體" w:hAnsi="Times New Roman" w:cs="Times New Roman"/>
          <w:szCs w:val="24"/>
        </w:rPr>
        <w:t xml:space="preserve">B.  Employment quota policy pertaining to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and similar assistive measures</w:t>
      </w:r>
    </w:p>
    <w:p w14:paraId="7521FA2F" w14:textId="4DC09E02" w:rsidR="00960FBC" w:rsidRPr="00885A57" w:rsidRDefault="005C0232"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74" w:name="_Ref55916049"/>
      <w:r w:rsidRPr="00885A57">
        <w:rPr>
          <w:rFonts w:ascii="Times New Roman" w:eastAsia="標楷體" w:hAnsi="Times New Roman" w:cs="Times New Roman"/>
          <w:szCs w:val="24"/>
        </w:rPr>
        <w:t>In December 2019, the number of institutions obliged to recruit employees with disabilities, as defined in Article 38 of the PDRPA, was 17,673, an increase of 4.7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compared with 16,881 in December 2016; the number of employed persons in the same period reached 84,693, an increase of 3.3</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compared with December 2016</w:t>
      </w:r>
      <w:r w:rsidR="00CD422F">
        <w:rPr>
          <w:rFonts w:ascii="Times New Roman" w:eastAsia="標楷體" w:hAnsi="Times New Roman" w:cs="Times New Roman"/>
          <w:szCs w:val="24"/>
        </w:rPr>
        <w:t>.</w:t>
      </w:r>
      <w:r w:rsidR="00CD422F" w:rsidRPr="00885A57">
        <w:rPr>
          <w:rFonts w:ascii="Times New Roman" w:eastAsia="標楷體" w:hAnsi="Times New Roman" w:cs="Times New Roman"/>
          <w:szCs w:val="24"/>
        </w:rPr>
        <w:t xml:space="preserve"> </w:t>
      </w:r>
      <w:r w:rsidR="00CD422F">
        <w:rPr>
          <w:rFonts w:ascii="Times New Roman" w:eastAsia="標楷體" w:hAnsi="Times New Roman" w:cs="Times New Roman"/>
          <w:szCs w:val="24"/>
        </w:rPr>
        <w:t xml:space="preserve">Of </w:t>
      </w:r>
      <w:r w:rsidRPr="00885A57">
        <w:rPr>
          <w:rFonts w:ascii="Times New Roman" w:eastAsia="標楷體" w:hAnsi="Times New Roman" w:cs="Times New Roman"/>
          <w:szCs w:val="24"/>
        </w:rPr>
        <w:t xml:space="preserve">employed persons, 16,648 were </w:t>
      </w:r>
      <w:r w:rsidR="00CD422F">
        <w:rPr>
          <w:rFonts w:ascii="Times New Roman" w:eastAsia="標楷體" w:hAnsi="Times New Roman" w:cs="Times New Roman"/>
          <w:szCs w:val="24"/>
        </w:rPr>
        <w:t xml:space="preserve">afflicted with </w:t>
      </w:r>
      <w:r w:rsidRPr="00885A57">
        <w:rPr>
          <w:rFonts w:ascii="Times New Roman" w:eastAsia="標楷體" w:hAnsi="Times New Roman" w:cs="Times New Roman"/>
          <w:szCs w:val="24"/>
        </w:rPr>
        <w:t>severe disabilities (accounting for 19.7</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total recruited employees). The total </w:t>
      </w:r>
      <w:r w:rsidRPr="00885A57">
        <w:rPr>
          <w:rFonts w:ascii="Times New Roman" w:eastAsia="標楷體" w:hAnsi="Times New Roman" w:cs="Times New Roman"/>
          <w:szCs w:val="24"/>
        </w:rPr>
        <w:lastRenderedPageBreak/>
        <w:t>of 84,693 was 42.4</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greater than the numerical target under the law (59,460; Table 27.10). Moreover, 8,858 institutions hired more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than mandated by law, accounting for 50.1</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all institutions; this percentage in 2019 was 10.1</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more than that (40</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in 2009. The results indicate that the employment quota policy provides effective and positive protection and encourages employment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By contrast, 1,764 institutions (accounting for 10.0</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of all institutions) failed to recruit the specified number of </w:t>
      </w:r>
      <w:r w:rsidR="00FF2D72">
        <w:rPr>
          <w:rFonts w:ascii="Times New Roman" w:eastAsia="標楷體" w:hAnsi="Times New Roman" w:cs="Times New Roman"/>
          <w:szCs w:val="24"/>
        </w:rPr>
        <w:t>people</w:t>
      </w:r>
      <w:r w:rsidRPr="00885A57">
        <w:rPr>
          <w:rFonts w:ascii="Times New Roman" w:eastAsia="標楷體" w:hAnsi="Times New Roman" w:cs="Times New Roman"/>
          <w:szCs w:val="24"/>
        </w:rPr>
        <w:t xml:space="preserve"> with disabilities; the percentage was slightly lower than the 12.9</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xml:space="preserve"> reported in 2009, and the improvement in the last three years has been slow. To solve this problem, the MOL continues regarding compliance with the employment quota policy as an indicator in local government performance assessments and regularly </w:t>
      </w:r>
      <w:r w:rsidR="0068638F">
        <w:rPr>
          <w:rFonts w:ascii="Times New Roman" w:eastAsia="標楷體" w:hAnsi="Times New Roman" w:cs="Times New Roman"/>
          <w:szCs w:val="24"/>
        </w:rPr>
        <w:t xml:space="preserve">publishes the names of </w:t>
      </w:r>
      <w:r w:rsidRPr="00885A57">
        <w:rPr>
          <w:rFonts w:ascii="Times New Roman" w:eastAsia="標楷體" w:hAnsi="Times New Roman" w:cs="Times New Roman"/>
          <w:szCs w:val="24"/>
        </w:rPr>
        <w:t>institutions failing to meet the target quota. Furthermore, the MOL</w:t>
      </w:r>
      <w:r w:rsidR="00272DFE">
        <w:rPr>
          <w:rFonts w:ascii="Times New Roman" w:eastAsia="標楷體" w:hAnsi="Times New Roman" w:cs="Times New Roman"/>
          <w:szCs w:val="24"/>
        </w:rPr>
        <w:t xml:space="preserve">, </w:t>
      </w:r>
      <w:r w:rsidRPr="00885A57">
        <w:rPr>
          <w:rFonts w:ascii="Times New Roman" w:eastAsia="標楷體" w:hAnsi="Times New Roman" w:cs="Times New Roman"/>
          <w:szCs w:val="24"/>
        </w:rPr>
        <w:t>together with local governments</w:t>
      </w:r>
      <w:r w:rsidR="00272DFE">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identifies reasons for such failure by cooperating with local governments, </w:t>
      </w:r>
      <w:r w:rsidR="00272DFE">
        <w:rPr>
          <w:rFonts w:ascii="Times New Roman" w:eastAsia="標楷體" w:hAnsi="Times New Roman" w:cs="Times New Roman"/>
          <w:szCs w:val="24"/>
        </w:rPr>
        <w:t xml:space="preserve">helps </w:t>
      </w:r>
      <w:r w:rsidRPr="00885A57">
        <w:rPr>
          <w:rFonts w:ascii="Times New Roman" w:eastAsia="標楷體" w:hAnsi="Times New Roman" w:cs="Times New Roman"/>
          <w:szCs w:val="24"/>
        </w:rPr>
        <w:t xml:space="preserve">the institutions in question improve job matching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and provides various </w:t>
      </w:r>
      <w:r w:rsidR="00F1571F">
        <w:rPr>
          <w:rFonts w:ascii="Times New Roman" w:eastAsia="標楷體" w:hAnsi="Times New Roman" w:cs="Times New Roman"/>
          <w:szCs w:val="24"/>
        </w:rPr>
        <w:t xml:space="preserve">measures to assist </w:t>
      </w:r>
      <w:r w:rsidRPr="00885A57">
        <w:rPr>
          <w:rFonts w:ascii="Times New Roman" w:eastAsia="標楷體" w:hAnsi="Times New Roman" w:cs="Times New Roman"/>
          <w:szCs w:val="24"/>
        </w:rPr>
        <w:t xml:space="preserve">service differentiation (e.g., employment subsidies, </w:t>
      </w:r>
      <w:r w:rsidR="001759AD" w:rsidRPr="00885A57">
        <w:rPr>
          <w:rFonts w:ascii="Times New Roman" w:eastAsia="標楷體" w:hAnsi="Times New Roman" w:cs="Times New Roman"/>
          <w:szCs w:val="24"/>
        </w:rPr>
        <w:t>job accommodation</w:t>
      </w:r>
      <w:r w:rsidRPr="00885A57">
        <w:rPr>
          <w:rFonts w:ascii="Times New Roman" w:eastAsia="標楷體" w:hAnsi="Times New Roman" w:cs="Times New Roman"/>
          <w:szCs w:val="24"/>
        </w:rPr>
        <w:t xml:space="preserve"> for employers) to stimulate employment willingness; moreover, </w:t>
      </w:r>
      <w:r w:rsidRPr="00F47462">
        <w:rPr>
          <w:rFonts w:ascii="Times New Roman" w:eastAsia="標楷體" w:hAnsi="Times New Roman" w:cs="Times New Roman"/>
          <w:szCs w:val="24"/>
        </w:rPr>
        <w:t>employees with disabilities are referred to MOL-announced institutions failing to meet the specified quota through the supported employment service.</w:t>
      </w:r>
      <w:r w:rsidRPr="00885A57">
        <w:rPr>
          <w:rFonts w:ascii="Times New Roman" w:eastAsia="標楷體" w:hAnsi="Times New Roman" w:cs="Times New Roman"/>
          <w:szCs w:val="24"/>
        </w:rPr>
        <w:t xml:space="preserve"> The ministry provided assistance to 135 institutions on average per month in 2019 and commissioned surveys on these matters in 2020 to accurately measure the effectiveness of the quota policy as </w:t>
      </w:r>
      <w:r w:rsidRPr="00885A57">
        <w:rPr>
          <w:rFonts w:ascii="Times New Roman" w:eastAsia="標楷體" w:hAnsi="Times New Roman" w:cs="Times New Roman"/>
          <w:szCs w:val="24"/>
        </w:rPr>
        <w:lastRenderedPageBreak/>
        <w:t xml:space="preserve">well as identify </w:t>
      </w:r>
      <w:r w:rsidR="00C53389">
        <w:rPr>
          <w:rFonts w:ascii="Times New Roman" w:eastAsia="標楷體" w:hAnsi="Times New Roman" w:cs="Times New Roman"/>
          <w:szCs w:val="24"/>
        </w:rPr>
        <w:t xml:space="preserve">difficulties and possible </w:t>
      </w:r>
      <w:r w:rsidRPr="00885A57">
        <w:rPr>
          <w:rFonts w:ascii="Times New Roman" w:eastAsia="標楷體" w:hAnsi="Times New Roman" w:cs="Times New Roman"/>
          <w:szCs w:val="24"/>
        </w:rPr>
        <w:t>solutions.</w:t>
      </w:r>
      <w:bookmarkEnd w:id="174"/>
      <w:r w:rsidR="00944A6C" w:rsidRPr="00885A57">
        <w:rPr>
          <w:rStyle w:val="ab"/>
          <w:rFonts w:ascii="Times New Roman" w:eastAsia="標楷體" w:hAnsi="Times New Roman" w:cs="Times New Roman"/>
        </w:rPr>
        <w:footnoteReference w:id="115"/>
      </w:r>
    </w:p>
    <w:p w14:paraId="74FF257B" w14:textId="190669F4" w:rsidR="00CB1345" w:rsidRPr="00885A57" w:rsidRDefault="00C53389"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75" w:name="_Ref55916235"/>
      <w:r>
        <w:rPr>
          <w:rFonts w:ascii="Times New Roman" w:eastAsia="標楷體" w:hAnsi="Times New Roman" w:cs="Times New Roman"/>
        </w:rPr>
        <w:t xml:space="preserve">The </w:t>
      </w:r>
      <w:r w:rsidR="00944A6C" w:rsidRPr="00885A57">
        <w:rPr>
          <w:rFonts w:ascii="Times New Roman" w:eastAsia="標楷體" w:hAnsi="Times New Roman" w:cs="Times New Roman"/>
        </w:rPr>
        <w:t xml:space="preserve">basic guaranteed pension payment </w:t>
      </w:r>
      <w:r>
        <w:rPr>
          <w:rFonts w:ascii="Times New Roman" w:eastAsia="標楷體" w:hAnsi="Times New Roman" w:cs="Times New Roman"/>
        </w:rPr>
        <w:t>for</w:t>
      </w:r>
      <w:r w:rsidR="000F5439">
        <w:rPr>
          <w:rFonts w:ascii="Times New Roman" w:eastAsia="標楷體" w:hAnsi="Times New Roman" w:cs="Times New Roman"/>
        </w:rPr>
        <w:t xml:space="preserve"> people with disabilities</w:t>
      </w:r>
      <w:r>
        <w:rPr>
          <w:rFonts w:ascii="Times New Roman" w:eastAsia="標楷體" w:hAnsi="Times New Roman" w:cs="Times New Roman"/>
        </w:rPr>
        <w:t xml:space="preserve"> from the n</w:t>
      </w:r>
      <w:r w:rsidR="00944A6C" w:rsidRPr="00885A57">
        <w:rPr>
          <w:rFonts w:ascii="Times New Roman" w:eastAsia="標楷體" w:hAnsi="Times New Roman" w:cs="Times New Roman"/>
        </w:rPr>
        <w:t>ational Pension Benefit Payments for people with disabilities target</w:t>
      </w:r>
      <w:r>
        <w:rPr>
          <w:rFonts w:ascii="Times New Roman" w:eastAsia="標楷體" w:hAnsi="Times New Roman" w:cs="Times New Roman"/>
        </w:rPr>
        <w:t>s</w:t>
      </w:r>
      <w:r w:rsidR="00944A6C" w:rsidRPr="00885A57">
        <w:rPr>
          <w:rFonts w:ascii="Times New Roman" w:eastAsia="標楷體" w:hAnsi="Times New Roman" w:cs="Times New Roman"/>
        </w:rPr>
        <w:t xml:space="preserve"> insured people diagnosed as having a severe mental/physical disability who are thus incapable of working. Therefore, it is unlikely that an asset investigation reduces the willingness of people with disabilities to pursue a career. The MOHW amended and promulgated the </w:t>
      </w:r>
      <w:r w:rsidR="00944A6C" w:rsidRPr="002153DE">
        <w:rPr>
          <w:rFonts w:ascii="Times New Roman" w:eastAsia="標楷體" w:hAnsi="Times New Roman" w:cs="Times New Roman"/>
          <w:iCs/>
        </w:rPr>
        <w:t xml:space="preserve">Rules Governing the Provision of Livelihood Subsidies to </w:t>
      </w:r>
      <w:r w:rsidR="001A6CFE" w:rsidRPr="002153DE">
        <w:rPr>
          <w:rFonts w:ascii="Times New Roman" w:eastAsia="標楷體" w:hAnsi="Times New Roman" w:cs="Times New Roman"/>
          <w:iCs/>
        </w:rPr>
        <w:t>P</w:t>
      </w:r>
      <w:r w:rsidR="00944A6C" w:rsidRPr="002153DE">
        <w:rPr>
          <w:rFonts w:ascii="Times New Roman" w:eastAsia="標楷體" w:hAnsi="Times New Roman" w:cs="Times New Roman"/>
          <w:iCs/>
        </w:rPr>
        <w:t>eople with Disabilities</w:t>
      </w:r>
      <w:r w:rsidR="00944A6C" w:rsidRPr="00885A57">
        <w:rPr>
          <w:rFonts w:ascii="Times New Roman" w:eastAsia="標楷體" w:hAnsi="Times New Roman" w:cs="Times New Roman"/>
        </w:rPr>
        <w:t>, adding that</w:t>
      </w:r>
      <w:r w:rsidR="002D4DC6">
        <w:rPr>
          <w:rFonts w:ascii="Times New Roman" w:eastAsia="標楷體" w:hAnsi="Times New Roman" w:cs="Times New Roman"/>
        </w:rPr>
        <w:t xml:space="preserve"> </w:t>
      </w:r>
      <w:r w:rsidR="00944A6C" w:rsidRPr="00885A57">
        <w:rPr>
          <w:rFonts w:ascii="Times New Roman" w:eastAsia="標楷體" w:hAnsi="Times New Roman" w:cs="Times New Roman"/>
        </w:rPr>
        <w:t xml:space="preserve">employment income earned within a specified period and up to a certain amount is exempt from </w:t>
      </w:r>
      <w:r>
        <w:rPr>
          <w:rFonts w:ascii="Times New Roman" w:eastAsia="標楷體" w:hAnsi="Times New Roman" w:cs="Times New Roman"/>
        </w:rPr>
        <w:t>inclusion in</w:t>
      </w:r>
      <w:r w:rsidR="00944A6C" w:rsidRPr="00885A57">
        <w:rPr>
          <w:rFonts w:ascii="Times New Roman" w:eastAsia="標楷體" w:hAnsi="Times New Roman" w:cs="Times New Roman"/>
        </w:rPr>
        <w:t xml:space="preserve"> total household income</w:t>
      </w:r>
      <w:r>
        <w:rPr>
          <w:rFonts w:ascii="Times New Roman" w:eastAsia="標楷體" w:hAnsi="Times New Roman" w:cs="Times New Roman"/>
        </w:rPr>
        <w:t>. T</w:t>
      </w:r>
      <w:r w:rsidR="00944A6C" w:rsidRPr="00885A57">
        <w:rPr>
          <w:rFonts w:ascii="Times New Roman" w:eastAsia="標楷體" w:hAnsi="Times New Roman" w:cs="Times New Roman"/>
        </w:rPr>
        <w:t>he article came into effect in 2020, aiming to encourage recipients of subsidies with disabilities to enter the labor market and thus enjoy an adequate standard of living to a similar extent as others.</w:t>
      </w:r>
      <w:bookmarkEnd w:id="175"/>
      <w:r w:rsidR="00944A6C" w:rsidRPr="00885A57">
        <w:rPr>
          <w:rStyle w:val="ab"/>
          <w:rFonts w:ascii="Times New Roman" w:eastAsia="標楷體" w:hAnsi="Times New Roman" w:cs="Times New Roman"/>
        </w:rPr>
        <w:footnoteReference w:id="116"/>
      </w:r>
    </w:p>
    <w:p w14:paraId="7091EF46" w14:textId="3E86AE69" w:rsidR="00E56DC0" w:rsidRPr="00885A57" w:rsidRDefault="00CF76AC" w:rsidP="001A2139">
      <w:pPr>
        <w:pStyle w:val="10"/>
        <w:spacing w:after="120" w:line="360" w:lineRule="auto"/>
        <w:rPr>
          <w:rFonts w:ascii="Times New Roman" w:hAnsi="Times New Roman"/>
        </w:rPr>
      </w:pPr>
      <w:bookmarkStart w:id="176" w:name="_Toc73108697"/>
      <w:r w:rsidRPr="00885A57">
        <w:rPr>
          <w:rFonts w:ascii="Times New Roman" w:hAnsi="Times New Roman"/>
        </w:rPr>
        <w:t>Article 28</w:t>
      </w:r>
      <w:bookmarkStart w:id="177" w:name="_Toc55900612"/>
      <w:r w:rsidR="00B645D5" w:rsidRPr="00885A57">
        <w:rPr>
          <w:rFonts w:ascii="Times New Roman" w:hAnsi="Times New Roman"/>
        </w:rPr>
        <w:t xml:space="preserve">: </w:t>
      </w:r>
      <w:r w:rsidRPr="00885A57">
        <w:rPr>
          <w:rFonts w:ascii="Times New Roman" w:hAnsi="Times New Roman"/>
        </w:rPr>
        <w:t>Adequate standard of living and social protection</w:t>
      </w:r>
      <w:bookmarkEnd w:id="176"/>
      <w:r w:rsidR="00C71AD5" w:rsidRPr="00885A57">
        <w:rPr>
          <w:rFonts w:ascii="Times New Roman" w:hAnsi="Times New Roman"/>
        </w:rPr>
        <w:tab/>
      </w:r>
      <w:r w:rsidR="00C71AD5" w:rsidRPr="00885A57">
        <w:rPr>
          <w:rFonts w:ascii="Times New Roman" w:hAnsi="Times New Roman"/>
        </w:rPr>
        <w:tab/>
      </w:r>
      <w:r w:rsidR="00C71AD5" w:rsidRPr="00885A57">
        <w:rPr>
          <w:rFonts w:ascii="Times New Roman" w:hAnsi="Times New Roman"/>
        </w:rPr>
        <w:tab/>
      </w:r>
      <w:r w:rsidR="00C71AD5" w:rsidRPr="00885A57">
        <w:rPr>
          <w:rFonts w:ascii="Times New Roman" w:hAnsi="Times New Roman"/>
        </w:rPr>
        <w:tab/>
      </w:r>
      <w:r w:rsidR="00C71AD5" w:rsidRPr="00885A57">
        <w:rPr>
          <w:rFonts w:ascii="Times New Roman" w:hAnsi="Times New Roman"/>
        </w:rPr>
        <w:tab/>
      </w:r>
      <w:bookmarkEnd w:id="177"/>
    </w:p>
    <w:p w14:paraId="5DBF4591" w14:textId="6359FE0C" w:rsidR="006B30F0" w:rsidRPr="00885A57" w:rsidRDefault="00944A6C"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szCs w:val="24"/>
        </w:rPr>
        <w:t xml:space="preserve">With reference to the United Nation’s SDGs in 2015, Taiwan, as per its domestic circumstances and demands, is formulating its own sustainable development goals </w:t>
      </w:r>
      <w:r w:rsidR="00C53389">
        <w:rPr>
          <w:rFonts w:ascii="Times New Roman" w:eastAsia="標楷體" w:hAnsi="Times New Roman" w:cs="Times New Roman"/>
          <w:szCs w:val="24"/>
        </w:rPr>
        <w:t xml:space="preserve">for </w:t>
      </w:r>
      <w:r w:rsidRPr="00885A57">
        <w:rPr>
          <w:rFonts w:ascii="Times New Roman" w:eastAsia="標楷體" w:hAnsi="Times New Roman" w:cs="Times New Roman"/>
          <w:szCs w:val="24"/>
        </w:rPr>
        <w:t xml:space="preserve">2030. The agenda comprises 18 major goals, among which the goal of strengthening the socioeconomic safety care services for underprivileged groups aims to achieve comprehensive protection for all citizens, particularly underprivileged groups, in social security systems such as labor insurance, health insurance, and pension payments as well as reinforce the long-term care system </w:t>
      </w:r>
      <w:r w:rsidRPr="00885A57">
        <w:rPr>
          <w:rFonts w:ascii="Times New Roman" w:eastAsia="標楷體" w:hAnsi="Times New Roman" w:cs="Times New Roman"/>
          <w:szCs w:val="24"/>
        </w:rPr>
        <w:lastRenderedPageBreak/>
        <w:t>by improving resource distribution and service provision.</w:t>
      </w:r>
    </w:p>
    <w:p w14:paraId="661C9B3C" w14:textId="62D31F23" w:rsidR="004811EF" w:rsidRPr="00885A57" w:rsidRDefault="00944A6C"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rPr>
        <w:t>To ensure adequate food and clothing for financially underprivileged people, local governments, by cooperating with the private sector, have established food banks and issued food coupons to provide food and clothing for households on the threshold of poverty. Taiwan’s social protection system comprises social insurance, social aid, and welfare service</w:t>
      </w:r>
      <w:r w:rsidR="00F066C8">
        <w:rPr>
          <w:rFonts w:ascii="Times New Roman" w:eastAsia="標楷體" w:hAnsi="Times New Roman" w:cs="Times New Roman"/>
        </w:rPr>
        <w:t>s</w:t>
      </w:r>
      <w:r w:rsidRPr="00885A57">
        <w:rPr>
          <w:rFonts w:ascii="Times New Roman" w:eastAsia="標楷體" w:hAnsi="Times New Roman" w:cs="Times New Roman"/>
        </w:rPr>
        <w:t xml:space="preserve">. Welfare services are specified in relevant laws, whereas social insurance programs, in addition to </w:t>
      </w:r>
      <w:r w:rsidR="00F066C8">
        <w:rPr>
          <w:rFonts w:ascii="Times New Roman" w:eastAsia="標楷體" w:hAnsi="Times New Roman" w:cs="Times New Roman"/>
        </w:rPr>
        <w:t xml:space="preserve">the </w:t>
      </w:r>
      <w:r w:rsidRPr="00885A57">
        <w:rPr>
          <w:rFonts w:ascii="Times New Roman" w:eastAsia="標楷體" w:hAnsi="Times New Roman" w:cs="Times New Roman"/>
        </w:rPr>
        <w:t xml:space="preserve">NHI, are separately established </w:t>
      </w:r>
      <w:r w:rsidR="00F066C8">
        <w:rPr>
          <w:rFonts w:ascii="Times New Roman" w:eastAsia="標楷體" w:hAnsi="Times New Roman" w:cs="Times New Roman"/>
        </w:rPr>
        <w:t xml:space="preserve">in line with </w:t>
      </w:r>
      <w:r w:rsidRPr="00885A57">
        <w:rPr>
          <w:rFonts w:ascii="Times New Roman" w:eastAsia="標楷體" w:hAnsi="Times New Roman" w:cs="Times New Roman"/>
        </w:rPr>
        <w:t>occupation and governed by the corresponding competent authority.</w:t>
      </w:r>
      <w:r w:rsidRPr="00885A57">
        <w:rPr>
          <w:rStyle w:val="ab"/>
          <w:rFonts w:ascii="Times New Roman" w:eastAsia="標楷體" w:hAnsi="Times New Roman" w:cs="Times New Roman"/>
        </w:rPr>
        <w:footnoteReference w:id="117"/>
      </w:r>
      <w:r w:rsidRPr="00885A57">
        <w:rPr>
          <w:rFonts w:ascii="Times New Roman" w:eastAsia="標楷體" w:hAnsi="Times New Roman" w:cs="Times New Roman"/>
        </w:rPr>
        <w:t xml:space="preserve"> The </w:t>
      </w:r>
      <w:r w:rsidRPr="002153DE">
        <w:rPr>
          <w:rFonts w:ascii="Times New Roman" w:eastAsia="標楷體" w:hAnsi="Times New Roman" w:cs="Times New Roman"/>
          <w:iCs/>
        </w:rPr>
        <w:t>Directions Governing Social Insurance Premium Subsidies for Disabled Persons</w:t>
      </w:r>
      <w:r w:rsidRPr="00885A57">
        <w:rPr>
          <w:rFonts w:ascii="Times New Roman" w:eastAsia="標楷體" w:hAnsi="Times New Roman" w:cs="Times New Roman"/>
        </w:rPr>
        <w:t xml:space="preserve"> stipulate </w:t>
      </w:r>
      <w:r w:rsidR="00F066C8">
        <w:rPr>
          <w:rFonts w:ascii="Times New Roman" w:eastAsia="標楷體" w:hAnsi="Times New Roman" w:cs="Times New Roman"/>
        </w:rPr>
        <w:t xml:space="preserve">that </w:t>
      </w:r>
      <w:r w:rsidRPr="00885A57">
        <w:rPr>
          <w:rFonts w:ascii="Times New Roman" w:eastAsia="標楷體" w:hAnsi="Times New Roman" w:cs="Times New Roman"/>
        </w:rPr>
        <w:t xml:space="preserve">the </w:t>
      </w:r>
      <w:r w:rsidR="00F066C8">
        <w:rPr>
          <w:rFonts w:ascii="Times New Roman" w:eastAsia="標楷體" w:hAnsi="Times New Roman" w:cs="Times New Roman"/>
        </w:rPr>
        <w:t xml:space="preserve">subsidy for persons with disabilities for </w:t>
      </w:r>
      <w:r w:rsidRPr="00885A57">
        <w:rPr>
          <w:rFonts w:ascii="Times New Roman" w:eastAsia="標楷體" w:hAnsi="Times New Roman" w:cs="Times New Roman"/>
        </w:rPr>
        <w:t>premiums shall be 25</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50</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or </w:t>
      </w:r>
      <w:r w:rsidR="00F066C8">
        <w:rPr>
          <w:rFonts w:ascii="Times New Roman" w:eastAsia="標楷體" w:hAnsi="Times New Roman" w:cs="Times New Roman"/>
        </w:rPr>
        <w:t xml:space="preserve">a </w:t>
      </w:r>
      <w:r w:rsidRPr="00885A57">
        <w:rPr>
          <w:rFonts w:ascii="Times New Roman" w:eastAsia="標楷體" w:hAnsi="Times New Roman" w:cs="Times New Roman"/>
        </w:rPr>
        <w:t xml:space="preserve">full subsidy, depending on the person’s </w:t>
      </w:r>
      <w:r w:rsidR="00F066C8">
        <w:rPr>
          <w:rFonts w:ascii="Times New Roman" w:eastAsia="標楷體" w:hAnsi="Times New Roman" w:cs="Times New Roman"/>
        </w:rPr>
        <w:t>level of disability</w:t>
      </w:r>
      <w:r w:rsidRPr="00885A57">
        <w:rPr>
          <w:rFonts w:ascii="Times New Roman" w:eastAsia="標楷體" w:hAnsi="Times New Roman" w:cs="Times New Roman"/>
        </w:rPr>
        <w:t xml:space="preserve">. Unemployed people may join </w:t>
      </w:r>
      <w:r w:rsidR="00F066C8">
        <w:rPr>
          <w:rFonts w:ascii="Times New Roman" w:eastAsia="標楷體" w:hAnsi="Times New Roman" w:cs="Times New Roman"/>
        </w:rPr>
        <w:t xml:space="preserve">the </w:t>
      </w:r>
      <w:r w:rsidRPr="00885A57">
        <w:rPr>
          <w:rFonts w:ascii="Times New Roman" w:eastAsia="標楷體" w:hAnsi="Times New Roman" w:cs="Times New Roman"/>
        </w:rPr>
        <w:t>National Pension Insurance</w:t>
      </w:r>
      <w:r w:rsidR="00F066C8">
        <w:rPr>
          <w:rFonts w:ascii="Times New Roman" w:eastAsia="標楷體" w:hAnsi="Times New Roman" w:cs="Times New Roman"/>
        </w:rPr>
        <w:t xml:space="preserve"> scheme, which offers </w:t>
      </w:r>
      <w:r w:rsidRPr="00885A57">
        <w:rPr>
          <w:rFonts w:ascii="Times New Roman" w:eastAsia="標楷體" w:hAnsi="Times New Roman" w:cs="Times New Roman"/>
        </w:rPr>
        <w:t>pension payments (</w:t>
      </w:r>
      <w:r w:rsidR="00F066C8">
        <w:rPr>
          <w:rFonts w:ascii="Times New Roman" w:eastAsia="標楷體" w:hAnsi="Times New Roman" w:cs="Times New Roman"/>
        </w:rPr>
        <w:t xml:space="preserve">a </w:t>
      </w:r>
      <w:r w:rsidRPr="00885A57">
        <w:rPr>
          <w:rFonts w:ascii="Times New Roman" w:eastAsia="標楷體" w:hAnsi="Times New Roman" w:cs="Times New Roman"/>
        </w:rPr>
        <w:t>basic guaranteed pension payment) to people with severe disabilities who are unable to work. Taiwan established the minimum cost of living for social aid provision in 2010</w:t>
      </w:r>
      <w:r w:rsidRPr="00885A57">
        <w:rPr>
          <w:rFonts w:ascii="Times New Roman" w:eastAsia="標楷體" w:hAnsi="Times New Roman" w:cs="Times New Roman"/>
          <w:vertAlign w:val="superscript"/>
        </w:rPr>
        <w:footnoteReference w:id="118"/>
      </w:r>
      <w:r w:rsidRPr="00885A57">
        <w:rPr>
          <w:rFonts w:ascii="Times New Roman" w:eastAsia="標楷體" w:hAnsi="Times New Roman" w:cs="Times New Roman"/>
        </w:rPr>
        <w:t xml:space="preserve">; the minimum </w:t>
      </w:r>
      <w:r w:rsidR="00F066C8">
        <w:rPr>
          <w:rFonts w:ascii="Times New Roman" w:eastAsia="標楷體" w:hAnsi="Times New Roman" w:cs="Times New Roman"/>
        </w:rPr>
        <w:t>is</w:t>
      </w:r>
      <w:r w:rsidRPr="00885A57">
        <w:rPr>
          <w:rFonts w:ascii="Times New Roman" w:eastAsia="標楷體" w:hAnsi="Times New Roman" w:cs="Times New Roman"/>
        </w:rPr>
        <w:t xml:space="preserve"> 60</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of the median monthly income per capita </w:t>
      </w:r>
      <w:r w:rsidR="00F066C8">
        <w:rPr>
          <w:rFonts w:ascii="Times New Roman" w:eastAsia="標楷體" w:hAnsi="Times New Roman" w:cs="Times New Roman"/>
        </w:rPr>
        <w:t xml:space="preserve">in each </w:t>
      </w:r>
      <w:r w:rsidRPr="00885A57">
        <w:rPr>
          <w:rFonts w:ascii="Times New Roman" w:eastAsia="標楷體" w:hAnsi="Times New Roman" w:cs="Times New Roman"/>
        </w:rPr>
        <w:t xml:space="preserve">region; the rate is adjusted if the amount acquired in the new fiscal year exhibits a difference of </w:t>
      </w:r>
      <w:r w:rsidR="00F066C8">
        <w:rPr>
          <w:rFonts w:ascii="Times New Roman" w:eastAsia="標楷體" w:hAnsi="Times New Roman" w:cs="Times New Roman"/>
        </w:rPr>
        <w:t xml:space="preserve">greater than or equal to </w:t>
      </w:r>
      <w:r w:rsidR="002D4DC6">
        <w:rPr>
          <w:rFonts w:ascii="Times New Roman" w:eastAsia="標楷體" w:hAnsi="Times New Roman" w:cs="Times New Roman"/>
        </w:rPr>
        <w:t>five</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from the existing minimum living expense.</w:t>
      </w:r>
    </w:p>
    <w:p w14:paraId="2110DF4F" w14:textId="5BBAD181" w:rsidR="003E6231" w:rsidRPr="00885A57" w:rsidRDefault="00944A6C" w:rsidP="001A2139">
      <w:pPr>
        <w:pStyle w:val="a7"/>
        <w:numPr>
          <w:ilvl w:val="0"/>
          <w:numId w:val="45"/>
        </w:numPr>
        <w:spacing w:after="120" w:line="360" w:lineRule="auto"/>
        <w:ind w:leftChars="0" w:left="567" w:hanging="567"/>
        <w:jc w:val="both"/>
        <w:rPr>
          <w:rStyle w:val="ab"/>
          <w:rFonts w:ascii="Times New Roman" w:eastAsia="標楷體" w:hAnsi="Times New Roman" w:cs="Times New Roman"/>
          <w:vertAlign w:val="baseline"/>
        </w:rPr>
      </w:pPr>
      <w:r w:rsidRPr="00885A57">
        <w:rPr>
          <w:rFonts w:ascii="Times New Roman" w:eastAsia="標楷體" w:hAnsi="Times New Roman" w:cs="Times New Roman"/>
          <w:szCs w:val="24"/>
        </w:rPr>
        <w:t xml:space="preserve">According to statistics compiled by the MOHW, the number of individuals belonging to low- and middle-low-income households in 2019 was </w:t>
      </w:r>
      <w:r w:rsidRPr="002D4DC6">
        <w:rPr>
          <w:rFonts w:ascii="Times New Roman" w:eastAsia="標楷體" w:hAnsi="Times New Roman" w:cs="Times New Roman"/>
          <w:szCs w:val="24"/>
        </w:rPr>
        <w:t xml:space="preserve">638,707 </w:t>
      </w:r>
      <w:r w:rsidRPr="002D4DC6">
        <w:rPr>
          <w:rFonts w:ascii="Times New Roman" w:eastAsia="標楷體" w:hAnsi="Times New Roman" w:cs="Times New Roman"/>
          <w:szCs w:val="24"/>
        </w:rPr>
        <w:lastRenderedPageBreak/>
        <w:t>[328,539 men (51.44</w:t>
      </w:r>
      <w:r w:rsidR="00787A2A" w:rsidRPr="002D4DC6">
        <w:rPr>
          <w:rFonts w:ascii="Times New Roman" w:eastAsia="標楷體" w:hAnsi="Times New Roman" w:cs="Times New Roman"/>
          <w:szCs w:val="24"/>
        </w:rPr>
        <w:t xml:space="preserve"> percent</w:t>
      </w:r>
      <w:r w:rsidRPr="002D4DC6">
        <w:rPr>
          <w:rFonts w:ascii="Times New Roman" w:eastAsia="標楷體" w:hAnsi="Times New Roman" w:cs="Times New Roman"/>
          <w:szCs w:val="24"/>
        </w:rPr>
        <w:t>) and 31,168 women (48.56</w:t>
      </w:r>
      <w:r w:rsidR="00787A2A" w:rsidRPr="002D4DC6">
        <w:rPr>
          <w:rFonts w:ascii="Times New Roman" w:eastAsia="標楷體" w:hAnsi="Times New Roman" w:cs="Times New Roman"/>
          <w:szCs w:val="24"/>
        </w:rPr>
        <w:t xml:space="preserve"> percent</w:t>
      </w:r>
      <w:r w:rsidRPr="002D4DC6">
        <w:rPr>
          <w:rFonts w:ascii="Times New Roman" w:eastAsia="標楷體" w:hAnsi="Times New Roman" w:cs="Times New Roman"/>
          <w:szCs w:val="24"/>
        </w:rPr>
        <w:t>)].</w:t>
      </w:r>
      <w:r w:rsidRPr="00885A57">
        <w:rPr>
          <w:rFonts w:ascii="Times New Roman" w:eastAsia="標楷體" w:hAnsi="Times New Roman" w:cs="Times New Roman"/>
          <w:szCs w:val="24"/>
        </w:rPr>
        <w:t xml:space="preserve"> Among them, 88,315 were recognized as people with disabilities </w:t>
      </w:r>
      <w:r w:rsidR="00F066C8">
        <w:rPr>
          <w:rFonts w:ascii="Times New Roman" w:eastAsia="標楷體" w:hAnsi="Times New Roman" w:cs="Times New Roman"/>
          <w:szCs w:val="24"/>
        </w:rPr>
        <w:t>[</w:t>
      </w:r>
      <w:r w:rsidRPr="00885A57">
        <w:rPr>
          <w:rFonts w:ascii="Times New Roman" w:eastAsia="標楷體" w:hAnsi="Times New Roman" w:cs="Times New Roman"/>
          <w:szCs w:val="24"/>
        </w:rPr>
        <w:t>men and women were 57,648 (65.28</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and 30,667 (34.72</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respectively]. By 2016, the number of individuals from low- and middle-low-income households was 689,937 [352,279 men (51.06</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and 337,658 women (48.94</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among whom 81,850 were people with disabilities [53,463 men (65.32</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and 28,387 women (34.68</w:t>
      </w:r>
      <w:r w:rsidR="00787A2A">
        <w:rPr>
          <w:rFonts w:ascii="Times New Roman" w:eastAsia="標楷體" w:hAnsi="Times New Roman" w:cs="Times New Roman"/>
          <w:szCs w:val="24"/>
        </w:rPr>
        <w:t xml:space="preserve"> percent</w:t>
      </w:r>
      <w:r w:rsidRPr="00885A57">
        <w:rPr>
          <w:rFonts w:ascii="Times New Roman" w:eastAsia="標楷體" w:hAnsi="Times New Roman" w:cs="Times New Roman"/>
          <w:szCs w:val="24"/>
        </w:rPr>
        <w:t>)]. These statistics indicated no major changes during the 2016</w:t>
      </w:r>
      <w:r w:rsidR="00F066C8">
        <w:rPr>
          <w:rFonts w:ascii="Times New Roman" w:eastAsia="標楷體" w:hAnsi="Times New Roman" w:cs="Times New Roman"/>
          <w:szCs w:val="24"/>
        </w:rPr>
        <w:t>-</w:t>
      </w:r>
      <w:r w:rsidRPr="00885A57">
        <w:rPr>
          <w:rFonts w:ascii="Times New Roman" w:eastAsia="標楷體" w:hAnsi="Times New Roman" w:cs="Times New Roman"/>
          <w:szCs w:val="24"/>
        </w:rPr>
        <w:t>2019 period (Table 28.1A).</w:t>
      </w:r>
    </w:p>
    <w:p w14:paraId="677219F1" w14:textId="1F7CDD72" w:rsidR="00B34B5C" w:rsidRPr="00885A57" w:rsidRDefault="00944A6C" w:rsidP="001A2139">
      <w:pPr>
        <w:pStyle w:val="a7"/>
        <w:numPr>
          <w:ilvl w:val="0"/>
          <w:numId w:val="45"/>
        </w:numPr>
        <w:spacing w:after="120" w:line="360" w:lineRule="auto"/>
        <w:ind w:leftChars="0" w:left="567" w:hanging="567"/>
        <w:jc w:val="both"/>
        <w:rPr>
          <w:rFonts w:ascii="Times New Roman" w:eastAsia="標楷體" w:hAnsi="Times New Roman" w:cs="Times New Roman"/>
        </w:rPr>
      </w:pPr>
      <w:bookmarkStart w:id="178" w:name="_Ref39510118"/>
      <w:r w:rsidRPr="00885A57">
        <w:rPr>
          <w:rFonts w:ascii="Times New Roman" w:eastAsia="標楷體" w:hAnsi="Times New Roman" w:cs="Times New Roman"/>
          <w:spacing w:val="2"/>
          <w:szCs w:val="24"/>
        </w:rPr>
        <w:t xml:space="preserve">To safeguard the financial stability of people with disabilities, the government has adopted two approaches to determine an applicant’s eligibility for subsidies.  First, the National Pension is granted according to individual asset </w:t>
      </w:r>
      <w:r w:rsidR="00F066C8">
        <w:rPr>
          <w:rFonts w:ascii="Times New Roman" w:eastAsia="標楷體" w:hAnsi="Times New Roman" w:cs="Times New Roman"/>
          <w:spacing w:val="2"/>
          <w:szCs w:val="24"/>
        </w:rPr>
        <w:t xml:space="preserve">review </w:t>
      </w:r>
      <w:r w:rsidRPr="00885A57">
        <w:rPr>
          <w:rFonts w:ascii="Times New Roman" w:eastAsia="標楷體" w:hAnsi="Times New Roman" w:cs="Times New Roman"/>
          <w:spacing w:val="2"/>
          <w:szCs w:val="24"/>
        </w:rPr>
        <w:t xml:space="preserve">results. Second, the eligibility of low and middle-low-income households and people with disabilities for livelihood </w:t>
      </w:r>
      <w:r w:rsidR="00274856">
        <w:rPr>
          <w:rFonts w:ascii="Times New Roman" w:eastAsia="標楷體" w:hAnsi="Times New Roman" w:cs="Times New Roman"/>
          <w:spacing w:val="2"/>
          <w:szCs w:val="24"/>
        </w:rPr>
        <w:t>benefits</w:t>
      </w:r>
      <w:r w:rsidRPr="00885A57">
        <w:rPr>
          <w:rFonts w:ascii="Times New Roman" w:eastAsia="標楷體" w:hAnsi="Times New Roman" w:cs="Times New Roman"/>
          <w:spacing w:val="2"/>
          <w:szCs w:val="24"/>
        </w:rPr>
        <w:t xml:space="preserve"> (Table 28.1B) is determined by the asset </w:t>
      </w:r>
      <w:r w:rsidR="00F066C8">
        <w:rPr>
          <w:rFonts w:ascii="Times New Roman" w:eastAsia="標楷體" w:hAnsi="Times New Roman" w:cs="Times New Roman"/>
          <w:spacing w:val="2"/>
          <w:szCs w:val="24"/>
        </w:rPr>
        <w:t xml:space="preserve">review </w:t>
      </w:r>
      <w:r w:rsidRPr="00885A57">
        <w:rPr>
          <w:rFonts w:ascii="Times New Roman" w:eastAsia="標楷體" w:hAnsi="Times New Roman" w:cs="Times New Roman"/>
          <w:spacing w:val="2"/>
          <w:szCs w:val="24"/>
        </w:rPr>
        <w:t xml:space="preserve">of a household. However, </w:t>
      </w:r>
      <w:r w:rsidR="00F066C8">
        <w:rPr>
          <w:rFonts w:ascii="Times New Roman" w:eastAsia="標楷體" w:hAnsi="Times New Roman" w:cs="Times New Roman"/>
          <w:spacing w:val="2"/>
          <w:szCs w:val="24"/>
        </w:rPr>
        <w:t xml:space="preserve">a </w:t>
      </w:r>
      <w:r w:rsidRPr="00885A57">
        <w:rPr>
          <w:rFonts w:ascii="Times New Roman" w:eastAsia="標楷體" w:hAnsi="Times New Roman" w:cs="Times New Roman"/>
          <w:spacing w:val="2"/>
          <w:szCs w:val="24"/>
        </w:rPr>
        <w:t>flexible approach may apply to households under extraordinary circumstances. As of 2019, the number of individuals with disabilities receiving social aid reached 436,672 [268,683 men (61.53</w:t>
      </w:r>
      <w:r w:rsidR="00787A2A">
        <w:rPr>
          <w:rFonts w:ascii="Times New Roman" w:eastAsia="標楷體" w:hAnsi="Times New Roman" w:cs="Times New Roman"/>
          <w:spacing w:val="2"/>
          <w:szCs w:val="24"/>
        </w:rPr>
        <w:t xml:space="preserve"> percent</w:t>
      </w:r>
      <w:r w:rsidRPr="00885A57">
        <w:rPr>
          <w:rFonts w:ascii="Times New Roman" w:eastAsia="標楷體" w:hAnsi="Times New Roman" w:cs="Times New Roman"/>
          <w:spacing w:val="2"/>
          <w:szCs w:val="24"/>
        </w:rPr>
        <w:t>) and 167,989 women (38.47</w:t>
      </w:r>
      <w:r w:rsidR="00787A2A">
        <w:rPr>
          <w:rFonts w:ascii="Times New Roman" w:eastAsia="標楷體" w:hAnsi="Times New Roman" w:cs="Times New Roman"/>
          <w:spacing w:val="2"/>
          <w:szCs w:val="24"/>
        </w:rPr>
        <w:t xml:space="preserve"> percent</w:t>
      </w:r>
      <w:r w:rsidRPr="00885A57">
        <w:rPr>
          <w:rFonts w:ascii="Times New Roman" w:eastAsia="標楷體" w:hAnsi="Times New Roman" w:cs="Times New Roman"/>
          <w:spacing w:val="2"/>
          <w:szCs w:val="24"/>
        </w:rPr>
        <w:t>); Table 28.2], accounting for 36.79</w:t>
      </w:r>
      <w:r w:rsidR="00787A2A">
        <w:rPr>
          <w:rFonts w:ascii="Times New Roman" w:eastAsia="標楷體" w:hAnsi="Times New Roman" w:cs="Times New Roman"/>
          <w:spacing w:val="2"/>
          <w:szCs w:val="24"/>
        </w:rPr>
        <w:t xml:space="preserve"> percent</w:t>
      </w:r>
      <w:r w:rsidRPr="00885A57">
        <w:rPr>
          <w:rFonts w:ascii="Times New Roman" w:eastAsia="標楷體" w:hAnsi="Times New Roman" w:cs="Times New Roman"/>
          <w:spacing w:val="2"/>
          <w:szCs w:val="24"/>
        </w:rPr>
        <w:t xml:space="preserve"> of the total population with disabilities. Moreover, </w:t>
      </w:r>
      <w:r w:rsidR="00F066C8">
        <w:rPr>
          <w:rFonts w:ascii="Times New Roman" w:eastAsia="標楷體" w:hAnsi="Times New Roman" w:cs="Times New Roman"/>
          <w:spacing w:val="2"/>
          <w:szCs w:val="24"/>
        </w:rPr>
        <w:t xml:space="preserve">the </w:t>
      </w:r>
      <w:r w:rsidRPr="00885A57">
        <w:rPr>
          <w:rFonts w:ascii="Times New Roman" w:eastAsia="標楷體" w:hAnsi="Times New Roman" w:cs="Times New Roman"/>
          <w:spacing w:val="2"/>
          <w:szCs w:val="24"/>
        </w:rPr>
        <w:t>local competent authorities may add the subsidy amount for low-income people with disabilities who are under special protection, although the additional amount must not exceed 40</w:t>
      </w:r>
      <w:r w:rsidR="00787A2A">
        <w:rPr>
          <w:rFonts w:ascii="Times New Roman" w:eastAsia="標楷體" w:hAnsi="Times New Roman" w:cs="Times New Roman"/>
          <w:spacing w:val="2"/>
          <w:szCs w:val="24"/>
        </w:rPr>
        <w:t xml:space="preserve"> percent</w:t>
      </w:r>
      <w:r w:rsidRPr="00885A57">
        <w:rPr>
          <w:rFonts w:ascii="Times New Roman" w:eastAsia="標楷體" w:hAnsi="Times New Roman" w:cs="Times New Roman"/>
          <w:spacing w:val="2"/>
          <w:szCs w:val="24"/>
        </w:rPr>
        <w:t xml:space="preserve"> of the original amount. As for underprivileged groups who are not protected by law, the government has collaborated with the private sector to provide various </w:t>
      </w:r>
      <w:r w:rsidR="00F066C8">
        <w:rPr>
          <w:rFonts w:ascii="Times New Roman" w:eastAsia="標楷體" w:hAnsi="Times New Roman" w:cs="Times New Roman"/>
          <w:spacing w:val="2"/>
          <w:szCs w:val="24"/>
        </w:rPr>
        <w:t xml:space="preserve">forms of </w:t>
      </w:r>
      <w:r w:rsidRPr="00885A57">
        <w:rPr>
          <w:rFonts w:ascii="Times New Roman" w:eastAsia="標楷體" w:hAnsi="Times New Roman" w:cs="Times New Roman"/>
          <w:spacing w:val="2"/>
          <w:szCs w:val="24"/>
        </w:rPr>
        <w:t xml:space="preserve">emergency aid. To safeguard the basic </w:t>
      </w:r>
      <w:r w:rsidRPr="00885A57">
        <w:rPr>
          <w:rFonts w:ascii="Times New Roman" w:eastAsia="標楷體" w:hAnsi="Times New Roman" w:cs="Times New Roman"/>
          <w:spacing w:val="2"/>
          <w:szCs w:val="24"/>
        </w:rPr>
        <w:lastRenderedPageBreak/>
        <w:t xml:space="preserve">living </w:t>
      </w:r>
      <w:r w:rsidR="00B542EE" w:rsidRPr="00885A57">
        <w:rPr>
          <w:rFonts w:ascii="Times New Roman" w:eastAsia="標楷體" w:hAnsi="Times New Roman" w:cs="Times New Roman"/>
          <w:spacing w:val="2"/>
          <w:szCs w:val="24"/>
        </w:rPr>
        <w:t>of people</w:t>
      </w:r>
      <w:r w:rsidRPr="00885A57">
        <w:rPr>
          <w:rFonts w:ascii="Times New Roman" w:eastAsia="標楷體" w:hAnsi="Times New Roman" w:cs="Times New Roman"/>
          <w:spacing w:val="2"/>
          <w:szCs w:val="24"/>
        </w:rPr>
        <w:t xml:space="preserve"> with disabilities, the central government established the rate adjustment policy for social welfare allowance and National Pension payments; specifically, the government adjusts the rates for allowance and pension payments </w:t>
      </w:r>
      <w:r w:rsidR="00F066C8">
        <w:rPr>
          <w:rFonts w:ascii="Times New Roman" w:eastAsia="標楷體" w:hAnsi="Times New Roman" w:cs="Times New Roman"/>
          <w:spacing w:val="2"/>
          <w:szCs w:val="24"/>
        </w:rPr>
        <w:t xml:space="preserve">once </w:t>
      </w:r>
      <w:r w:rsidRPr="00885A57">
        <w:rPr>
          <w:rFonts w:ascii="Times New Roman" w:eastAsia="標楷體" w:hAnsi="Times New Roman" w:cs="Times New Roman"/>
          <w:spacing w:val="2"/>
          <w:szCs w:val="24"/>
        </w:rPr>
        <w:t>every four years beginning in 2012</w:t>
      </w:r>
      <w:r w:rsidR="00F066C8">
        <w:rPr>
          <w:rFonts w:ascii="Times New Roman" w:eastAsia="標楷體" w:hAnsi="Times New Roman" w:cs="Times New Roman"/>
          <w:spacing w:val="2"/>
          <w:szCs w:val="24"/>
        </w:rPr>
        <w:t xml:space="preserve"> (in line with changes in </w:t>
      </w:r>
      <w:r w:rsidR="00F066C8" w:rsidRPr="00885A57">
        <w:rPr>
          <w:rFonts w:ascii="Times New Roman" w:eastAsia="標楷體" w:hAnsi="Times New Roman" w:cs="Times New Roman"/>
          <w:spacing w:val="2"/>
          <w:szCs w:val="24"/>
        </w:rPr>
        <w:t>the consumer purchase index</w:t>
      </w:r>
      <w:r w:rsidR="00F066C8">
        <w:rPr>
          <w:rFonts w:ascii="Times New Roman" w:eastAsia="標楷體" w:hAnsi="Times New Roman" w:cs="Times New Roman"/>
          <w:spacing w:val="2"/>
          <w:szCs w:val="24"/>
        </w:rPr>
        <w:t>)</w:t>
      </w:r>
      <w:r w:rsidRPr="00885A57">
        <w:rPr>
          <w:rFonts w:ascii="Times New Roman" w:eastAsia="標楷體" w:hAnsi="Times New Roman" w:cs="Times New Roman"/>
          <w:spacing w:val="2"/>
          <w:szCs w:val="24"/>
        </w:rPr>
        <w:t>. When the index growth is zero or negative, however, the rate remain</w:t>
      </w:r>
      <w:r w:rsidR="00F066C8">
        <w:rPr>
          <w:rFonts w:ascii="Times New Roman" w:eastAsia="標楷體" w:hAnsi="Times New Roman" w:cs="Times New Roman"/>
          <w:spacing w:val="2"/>
          <w:szCs w:val="24"/>
        </w:rPr>
        <w:t>s</w:t>
      </w:r>
      <w:r w:rsidRPr="00885A57">
        <w:rPr>
          <w:rFonts w:ascii="Times New Roman" w:eastAsia="標楷體" w:hAnsi="Times New Roman" w:cs="Times New Roman"/>
          <w:spacing w:val="2"/>
          <w:szCs w:val="24"/>
        </w:rPr>
        <w:t xml:space="preserve"> unchanged.</w:t>
      </w:r>
      <w:r w:rsidRPr="00885A57">
        <w:rPr>
          <w:rStyle w:val="ab"/>
          <w:rFonts w:ascii="Times New Roman" w:eastAsia="標楷體" w:hAnsi="Times New Roman" w:cs="Times New Roman"/>
        </w:rPr>
        <w:footnoteReference w:id="119"/>
      </w:r>
      <w:r w:rsidR="00C71AD5" w:rsidRPr="00885A57">
        <w:rPr>
          <w:rFonts w:ascii="Times New Roman" w:eastAsia="標楷體" w:hAnsi="Times New Roman" w:cs="Times New Roman"/>
          <w:szCs w:val="24"/>
        </w:rPr>
        <w:t xml:space="preserve"> </w:t>
      </w:r>
      <w:bookmarkEnd w:id="178"/>
    </w:p>
    <w:p w14:paraId="61B32F49" w14:textId="61EF18F4" w:rsidR="00B635CD" w:rsidRPr="00885A57" w:rsidRDefault="00944A6C"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kern w:val="0"/>
          <w:szCs w:val="24"/>
        </w:rPr>
        <w:t>Regarding the Plan for Social Housing Establishment</w:t>
      </w:r>
      <w:r w:rsidRPr="00885A57">
        <w:rPr>
          <w:rFonts w:ascii="Times New Roman" w:eastAsia="標楷體" w:hAnsi="Times New Roman" w:cs="Times New Roman"/>
          <w:bCs/>
          <w:kern w:val="0"/>
          <w:szCs w:val="24"/>
        </w:rPr>
        <w:t xml:space="preserve"> </w:t>
      </w:r>
      <w:r w:rsidRPr="00885A57">
        <w:rPr>
          <w:rFonts w:ascii="Times New Roman" w:eastAsia="標楷體" w:hAnsi="Times New Roman" w:cs="Times New Roman"/>
          <w:kern w:val="0"/>
          <w:szCs w:val="24"/>
        </w:rPr>
        <w:t>approved by the Executive Yuan, the MOI launched a project to establish</w:t>
      </w:r>
      <w:r w:rsidRPr="00885A57">
        <w:rPr>
          <w:rFonts w:ascii="Times New Roman" w:eastAsia="標楷體" w:hAnsi="Times New Roman" w:cs="Times New Roman"/>
          <w:bCs/>
          <w:kern w:val="0"/>
          <w:szCs w:val="24"/>
        </w:rPr>
        <w:t xml:space="preserve"> </w:t>
      </w:r>
      <w:r w:rsidRPr="00885A57">
        <w:rPr>
          <w:rFonts w:ascii="Times New Roman" w:eastAsia="標楷體" w:hAnsi="Times New Roman" w:cs="Times New Roman"/>
          <w:kern w:val="0"/>
          <w:szCs w:val="24"/>
        </w:rPr>
        <w:t xml:space="preserve">200,000 social housing units within eight years by building social housing units for 120,000 households and commissioning housing leasing and management for 80,000 households. Per the </w:t>
      </w:r>
      <w:r w:rsidRPr="002153DE">
        <w:rPr>
          <w:rFonts w:ascii="Times New Roman" w:eastAsia="標楷體" w:hAnsi="Times New Roman" w:cs="Times New Roman"/>
          <w:iCs/>
          <w:kern w:val="0"/>
          <w:szCs w:val="24"/>
        </w:rPr>
        <w:t>Housing Act</w:t>
      </w:r>
      <w:r w:rsidRPr="00885A57">
        <w:rPr>
          <w:rFonts w:ascii="Times New Roman" w:eastAsia="標楷體" w:hAnsi="Times New Roman" w:cs="Times New Roman"/>
          <w:kern w:val="0"/>
          <w:szCs w:val="24"/>
        </w:rPr>
        <w:t>, at least 30</w:t>
      </w:r>
      <w:r w:rsidR="00787A2A">
        <w:rPr>
          <w:rFonts w:ascii="Times New Roman" w:eastAsia="標楷體" w:hAnsi="Times New Roman" w:cs="Times New Roman"/>
          <w:kern w:val="0"/>
          <w:szCs w:val="24"/>
        </w:rPr>
        <w:t xml:space="preserve"> percent</w:t>
      </w:r>
      <w:r w:rsidRPr="00885A57">
        <w:rPr>
          <w:rFonts w:ascii="Times New Roman" w:eastAsia="標楷體" w:hAnsi="Times New Roman" w:cs="Times New Roman"/>
          <w:kern w:val="0"/>
          <w:szCs w:val="24"/>
        </w:rPr>
        <w:t xml:space="preserve"> of social housing will be leased to economically or socially disadvantaged persons. As of October 2020, the number of social housing dwellings built under the first-phase plan (2017</w:t>
      </w:r>
      <w:r w:rsidR="007B260C">
        <w:rPr>
          <w:rFonts w:ascii="Times New Roman" w:eastAsia="標楷體" w:hAnsi="Times New Roman" w:cs="Times New Roman"/>
          <w:kern w:val="0"/>
          <w:szCs w:val="24"/>
        </w:rPr>
        <w:t>-</w:t>
      </w:r>
      <w:r w:rsidRPr="00885A57">
        <w:rPr>
          <w:rFonts w:ascii="Times New Roman" w:eastAsia="標楷體" w:hAnsi="Times New Roman" w:cs="Times New Roman"/>
          <w:kern w:val="0"/>
          <w:szCs w:val="24"/>
        </w:rPr>
        <w:t>2020) was 41,987 (Fig. 28.1), among which 6,483 were existing social housing units, 10,208 were newly built dwellings, 18,091 were under construction, and 4,095 were being planned. As of June 2020, 10,208 dwellings were occupied; among them, 4,579 dwellings were resided in by financially disadvantaged groups (44.9</w:t>
      </w:r>
      <w:r w:rsidR="00787A2A">
        <w:rPr>
          <w:rFonts w:ascii="Times New Roman" w:eastAsia="標楷體" w:hAnsi="Times New Roman" w:cs="Times New Roman"/>
          <w:kern w:val="0"/>
          <w:szCs w:val="24"/>
        </w:rPr>
        <w:t xml:space="preserve"> percent</w:t>
      </w:r>
      <w:r w:rsidRPr="00885A57">
        <w:rPr>
          <w:rFonts w:ascii="Times New Roman" w:eastAsia="標楷體" w:hAnsi="Times New Roman" w:cs="Times New Roman"/>
          <w:kern w:val="0"/>
          <w:szCs w:val="24"/>
        </w:rPr>
        <w:t xml:space="preserve"> of total dwellers), including 1,501 households with people with disabilities (27.3</w:t>
      </w:r>
      <w:r w:rsidR="00787A2A">
        <w:rPr>
          <w:rFonts w:ascii="Times New Roman" w:eastAsia="標楷體" w:hAnsi="Times New Roman" w:cs="Times New Roman"/>
          <w:kern w:val="0"/>
          <w:szCs w:val="24"/>
        </w:rPr>
        <w:t xml:space="preserve"> percent</w:t>
      </w:r>
      <w:r w:rsidRPr="00885A57">
        <w:rPr>
          <w:rFonts w:ascii="Times New Roman" w:eastAsia="標楷體" w:hAnsi="Times New Roman" w:cs="Times New Roman"/>
          <w:kern w:val="0"/>
          <w:szCs w:val="24"/>
        </w:rPr>
        <w:t xml:space="preserve">; Table 28.3). By September 2020, housing leasing and management services were </w:t>
      </w:r>
      <w:r w:rsidR="007B260C">
        <w:rPr>
          <w:rFonts w:ascii="Times New Roman" w:eastAsia="標楷體" w:hAnsi="Times New Roman" w:cs="Times New Roman"/>
          <w:kern w:val="0"/>
          <w:szCs w:val="24"/>
        </w:rPr>
        <w:t xml:space="preserve">made </w:t>
      </w:r>
      <w:r w:rsidRPr="00885A57">
        <w:rPr>
          <w:rFonts w:ascii="Times New Roman" w:eastAsia="標楷體" w:hAnsi="Times New Roman" w:cs="Times New Roman"/>
          <w:kern w:val="0"/>
          <w:szCs w:val="24"/>
        </w:rPr>
        <w:t xml:space="preserve">available </w:t>
      </w:r>
      <w:r w:rsidR="007B260C">
        <w:rPr>
          <w:rFonts w:ascii="Times New Roman" w:eastAsia="標楷體" w:hAnsi="Times New Roman" w:cs="Times New Roman"/>
          <w:kern w:val="0"/>
          <w:szCs w:val="24"/>
        </w:rPr>
        <w:t xml:space="preserve">to </w:t>
      </w:r>
      <w:r w:rsidRPr="00885A57">
        <w:rPr>
          <w:rFonts w:ascii="Times New Roman" w:eastAsia="標楷體" w:hAnsi="Times New Roman" w:cs="Times New Roman"/>
          <w:kern w:val="0"/>
          <w:szCs w:val="24"/>
        </w:rPr>
        <w:t xml:space="preserve">27,800 households and were matched with 11,055 households, among which 6,633 were financially disadvantaged. In 2019, the government issued rent subsidies to 11,453 households </w:t>
      </w:r>
      <w:r w:rsidR="007B260C">
        <w:rPr>
          <w:rFonts w:ascii="Times New Roman" w:eastAsia="標楷體" w:hAnsi="Times New Roman" w:cs="Times New Roman"/>
          <w:kern w:val="0"/>
          <w:szCs w:val="24"/>
        </w:rPr>
        <w:t>having</w:t>
      </w:r>
      <w:r w:rsidR="007B260C" w:rsidRPr="00885A57">
        <w:rPr>
          <w:rFonts w:ascii="Times New Roman" w:eastAsia="標楷體" w:hAnsi="Times New Roman" w:cs="Times New Roman"/>
          <w:kern w:val="0"/>
          <w:szCs w:val="24"/>
        </w:rPr>
        <w:t xml:space="preserve"> </w:t>
      </w:r>
      <w:r w:rsidRPr="00885A57">
        <w:rPr>
          <w:rFonts w:ascii="Times New Roman" w:eastAsia="標楷體" w:hAnsi="Times New Roman" w:cs="Times New Roman"/>
          <w:kern w:val="0"/>
          <w:szCs w:val="24"/>
        </w:rPr>
        <w:t xml:space="preserve">people with disabilities </w:t>
      </w:r>
      <w:r w:rsidRPr="00885A57">
        <w:rPr>
          <w:rFonts w:ascii="Times New Roman" w:eastAsia="標楷體" w:hAnsi="Times New Roman" w:cs="Times New Roman"/>
          <w:kern w:val="0"/>
          <w:szCs w:val="24"/>
        </w:rPr>
        <w:lastRenderedPageBreak/>
        <w:t xml:space="preserve">(NT$5,400 maximum per household). Subsidies for interest on housing purchase loans were provided </w:t>
      </w:r>
      <w:r w:rsidR="007B260C">
        <w:rPr>
          <w:rFonts w:ascii="Times New Roman" w:eastAsia="標楷體" w:hAnsi="Times New Roman" w:cs="Times New Roman"/>
          <w:kern w:val="0"/>
          <w:szCs w:val="24"/>
        </w:rPr>
        <w:t xml:space="preserve">to </w:t>
      </w:r>
      <w:r w:rsidRPr="00885A57">
        <w:rPr>
          <w:rFonts w:ascii="Times New Roman" w:eastAsia="標楷體" w:hAnsi="Times New Roman" w:cs="Times New Roman"/>
          <w:kern w:val="0"/>
          <w:szCs w:val="24"/>
        </w:rPr>
        <w:t xml:space="preserve">206 households, with the provision that the loan amount </w:t>
      </w:r>
      <w:r w:rsidR="00274856" w:rsidRPr="00885A57">
        <w:rPr>
          <w:rFonts w:ascii="Times New Roman" w:eastAsia="標楷體" w:hAnsi="Times New Roman" w:cs="Times New Roman"/>
          <w:kern w:val="0"/>
          <w:szCs w:val="24"/>
        </w:rPr>
        <w:t>does not exceed</w:t>
      </w:r>
      <w:r w:rsidRPr="00885A57">
        <w:rPr>
          <w:rFonts w:ascii="Times New Roman" w:eastAsia="標楷體" w:hAnsi="Times New Roman" w:cs="Times New Roman"/>
          <w:kern w:val="0"/>
          <w:szCs w:val="24"/>
        </w:rPr>
        <w:t xml:space="preserve"> NT$2.2 million in principle (Table 28.4).</w:t>
      </w:r>
    </w:p>
    <w:p w14:paraId="0C5FD59D" w14:textId="399F4CA7" w:rsidR="00CB1FA9" w:rsidRPr="00885A57" w:rsidRDefault="00944A6C" w:rsidP="001A2139">
      <w:pPr>
        <w:pStyle w:val="a7"/>
        <w:numPr>
          <w:ilvl w:val="0"/>
          <w:numId w:val="45"/>
        </w:numPr>
        <w:spacing w:after="120" w:line="360" w:lineRule="auto"/>
        <w:ind w:leftChars="0" w:left="567" w:hanging="567"/>
        <w:jc w:val="both"/>
        <w:rPr>
          <w:rFonts w:ascii="Times New Roman" w:eastAsia="標楷體" w:hAnsi="Times New Roman" w:cs="Times New Roman"/>
        </w:rPr>
      </w:pPr>
      <w:bookmarkStart w:id="179" w:name="_Ref55910832"/>
      <w:r w:rsidRPr="00885A57">
        <w:rPr>
          <w:rFonts w:ascii="Times New Roman" w:eastAsia="標楷體" w:hAnsi="Times New Roman" w:cs="Times New Roman"/>
          <w:kern w:val="0"/>
          <w:szCs w:val="24"/>
        </w:rPr>
        <w:t>Under the Integrated Housing Subsidization Program, the MOI regards family income and various underprivileged conditions as major considerations when making a determination to grant housing subsidies for rent subsidy, interest subsidy for housing purchase loans, or interest subsidy for housing repair loans (Table 28.5)</w:t>
      </w:r>
      <w:r w:rsidR="00803D27">
        <w:rPr>
          <w:rFonts w:ascii="Times New Roman" w:eastAsia="標楷體" w:hAnsi="Times New Roman" w:cs="Times New Roman"/>
          <w:kern w:val="0"/>
          <w:szCs w:val="24"/>
        </w:rPr>
        <w:t xml:space="preserve">. For families with </w:t>
      </w:r>
      <w:r w:rsidR="007B260C">
        <w:rPr>
          <w:rFonts w:ascii="Times New Roman" w:eastAsia="標楷體" w:hAnsi="Times New Roman" w:cs="Times New Roman"/>
          <w:kern w:val="0"/>
          <w:szCs w:val="24"/>
        </w:rPr>
        <w:t xml:space="preserve">members having </w:t>
      </w:r>
      <w:r w:rsidR="00803D27">
        <w:rPr>
          <w:rFonts w:ascii="Times New Roman" w:eastAsia="標楷體" w:hAnsi="Times New Roman" w:cs="Times New Roman"/>
          <w:kern w:val="0"/>
          <w:szCs w:val="24"/>
        </w:rPr>
        <w:t>physical or mental disabilities</w:t>
      </w:r>
      <w:r w:rsidRPr="00885A57">
        <w:rPr>
          <w:rFonts w:ascii="Times New Roman" w:eastAsia="標楷體" w:hAnsi="Times New Roman" w:cs="Times New Roman"/>
          <w:kern w:val="0"/>
          <w:szCs w:val="24"/>
        </w:rPr>
        <w:t>, depending on their disability level, the benefit value can be increased. Statistics for 2019 revealed that among recipients of the aforementioned benefits, the number of families with physically or mentally challenged members that received the rent subsidy, interest subsidy for housing purchase loans, and interest subsidy for housing repair loans, respectively, were 11,379 (accounting for 15.8</w:t>
      </w:r>
      <w:r w:rsidR="00787A2A">
        <w:rPr>
          <w:rFonts w:ascii="Times New Roman" w:eastAsia="標楷體" w:hAnsi="Times New Roman" w:cs="Times New Roman"/>
          <w:kern w:val="0"/>
          <w:szCs w:val="24"/>
        </w:rPr>
        <w:t xml:space="preserve"> percent</w:t>
      </w:r>
      <w:r w:rsidRPr="00885A57">
        <w:rPr>
          <w:rFonts w:ascii="Times New Roman" w:eastAsia="標楷體" w:hAnsi="Times New Roman" w:cs="Times New Roman"/>
          <w:kern w:val="0"/>
          <w:szCs w:val="24"/>
        </w:rPr>
        <w:t xml:space="preserve"> of </w:t>
      </w:r>
      <w:r w:rsidR="007B260C">
        <w:rPr>
          <w:rFonts w:ascii="Times New Roman" w:eastAsia="標楷體" w:hAnsi="Times New Roman" w:cs="Times New Roman"/>
          <w:kern w:val="0"/>
          <w:szCs w:val="24"/>
        </w:rPr>
        <w:t xml:space="preserve">a </w:t>
      </w:r>
      <w:r w:rsidRPr="00885A57">
        <w:rPr>
          <w:rFonts w:ascii="Times New Roman" w:eastAsia="標楷體" w:hAnsi="Times New Roman" w:cs="Times New Roman"/>
          <w:kern w:val="0"/>
          <w:szCs w:val="24"/>
        </w:rPr>
        <w:t>total 78</w:t>
      </w:r>
      <w:r w:rsidR="00FE1103" w:rsidRPr="00885A57">
        <w:rPr>
          <w:rFonts w:ascii="Times New Roman" w:eastAsia="標楷體" w:hAnsi="Times New Roman" w:cs="Times New Roman"/>
          <w:kern w:val="0"/>
          <w:szCs w:val="24"/>
        </w:rPr>
        <w:t>2</w:t>
      </w:r>
      <w:r w:rsidR="00FE1103">
        <w:rPr>
          <w:rFonts w:ascii="Times New Roman" w:eastAsia="標楷體" w:hAnsi="Times New Roman" w:cs="Times New Roman"/>
          <w:kern w:val="0"/>
          <w:szCs w:val="24"/>
        </w:rPr>
        <w:t>,</w:t>
      </w:r>
      <w:r w:rsidR="00FE1103" w:rsidRPr="00885A57">
        <w:rPr>
          <w:rFonts w:ascii="Times New Roman" w:eastAsia="標楷體" w:hAnsi="Times New Roman" w:cs="Times New Roman"/>
          <w:kern w:val="0"/>
          <w:szCs w:val="24"/>
        </w:rPr>
        <w:t>044</w:t>
      </w:r>
      <w:r w:rsidRPr="00885A57">
        <w:rPr>
          <w:rFonts w:ascii="Times New Roman" w:eastAsia="標楷體" w:hAnsi="Times New Roman" w:cs="Times New Roman"/>
          <w:kern w:val="0"/>
          <w:szCs w:val="24"/>
        </w:rPr>
        <w:t xml:space="preserve"> households), 116 (accounting for 2.1</w:t>
      </w:r>
      <w:r w:rsidR="00787A2A">
        <w:rPr>
          <w:rFonts w:ascii="Times New Roman" w:eastAsia="標楷體" w:hAnsi="Times New Roman" w:cs="Times New Roman"/>
          <w:kern w:val="0"/>
          <w:szCs w:val="24"/>
        </w:rPr>
        <w:t xml:space="preserve"> percent</w:t>
      </w:r>
      <w:r w:rsidRPr="00885A57">
        <w:rPr>
          <w:rFonts w:ascii="Times New Roman" w:eastAsia="標楷體" w:hAnsi="Times New Roman" w:cs="Times New Roman"/>
          <w:kern w:val="0"/>
          <w:szCs w:val="24"/>
        </w:rPr>
        <w:t xml:space="preserve"> of </w:t>
      </w:r>
      <w:r w:rsidR="007B260C">
        <w:rPr>
          <w:rFonts w:ascii="Times New Roman" w:eastAsia="標楷體" w:hAnsi="Times New Roman" w:cs="Times New Roman"/>
          <w:kern w:val="0"/>
          <w:szCs w:val="24"/>
        </w:rPr>
        <w:t xml:space="preserve">a </w:t>
      </w:r>
      <w:r w:rsidRPr="00885A57">
        <w:rPr>
          <w:rFonts w:ascii="Times New Roman" w:eastAsia="標楷體" w:hAnsi="Times New Roman" w:cs="Times New Roman"/>
          <w:kern w:val="0"/>
          <w:szCs w:val="24"/>
        </w:rPr>
        <w:t>total 5,403 households), and 40 (accounting for 6.5</w:t>
      </w:r>
      <w:r w:rsidR="00787A2A">
        <w:rPr>
          <w:rFonts w:ascii="Times New Roman" w:eastAsia="標楷體" w:hAnsi="Times New Roman" w:cs="Times New Roman"/>
          <w:kern w:val="0"/>
          <w:szCs w:val="24"/>
        </w:rPr>
        <w:t xml:space="preserve"> percent</w:t>
      </w:r>
      <w:r w:rsidRPr="00885A57">
        <w:rPr>
          <w:rFonts w:ascii="Times New Roman" w:eastAsia="標楷體" w:hAnsi="Times New Roman" w:cs="Times New Roman"/>
          <w:kern w:val="0"/>
          <w:szCs w:val="24"/>
        </w:rPr>
        <w:t xml:space="preserve"> of </w:t>
      </w:r>
      <w:r w:rsidR="007B260C">
        <w:rPr>
          <w:rFonts w:ascii="Times New Roman" w:eastAsia="標楷體" w:hAnsi="Times New Roman" w:cs="Times New Roman"/>
          <w:kern w:val="0"/>
          <w:szCs w:val="24"/>
        </w:rPr>
        <w:t xml:space="preserve">a </w:t>
      </w:r>
      <w:r w:rsidRPr="00885A57">
        <w:rPr>
          <w:rFonts w:ascii="Times New Roman" w:eastAsia="標楷體" w:hAnsi="Times New Roman" w:cs="Times New Roman"/>
          <w:kern w:val="0"/>
          <w:szCs w:val="24"/>
        </w:rPr>
        <w:t>total 613 households</w:t>
      </w:r>
      <w:bookmarkEnd w:id="179"/>
      <w:r w:rsidRPr="00885A57">
        <w:rPr>
          <w:rFonts w:ascii="Times New Roman" w:eastAsia="標楷體" w:hAnsi="Times New Roman" w:cs="Times New Roman"/>
          <w:kern w:val="0"/>
          <w:szCs w:val="24"/>
        </w:rPr>
        <w:t>).</w:t>
      </w:r>
      <w:r w:rsidRPr="00885A57">
        <w:rPr>
          <w:rStyle w:val="ab"/>
          <w:rFonts w:ascii="Times New Roman" w:eastAsia="標楷體" w:hAnsi="Times New Roman" w:cs="Times New Roman"/>
        </w:rPr>
        <w:footnoteReference w:id="120"/>
      </w:r>
    </w:p>
    <w:p w14:paraId="3A25851C" w14:textId="56E5643D" w:rsidR="00931F95" w:rsidRPr="00885A57" w:rsidRDefault="009F772B"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kern w:val="3"/>
          <w:szCs w:val="24"/>
        </w:rPr>
        <w:t xml:space="preserve">Regarding retirement protection policies, the </w:t>
      </w:r>
      <w:r w:rsidRPr="002153DE">
        <w:rPr>
          <w:rFonts w:ascii="Times New Roman" w:eastAsia="標楷體" w:hAnsi="Times New Roman" w:cs="Times New Roman"/>
          <w:iCs/>
          <w:kern w:val="3"/>
          <w:szCs w:val="24"/>
        </w:rPr>
        <w:t>National Pension Act</w:t>
      </w:r>
      <w:r w:rsidRPr="00885A57">
        <w:rPr>
          <w:rFonts w:ascii="Times New Roman" w:eastAsia="標楷體" w:hAnsi="Times New Roman" w:cs="Times New Roman"/>
          <w:kern w:val="3"/>
          <w:szCs w:val="24"/>
        </w:rPr>
        <w:t xml:space="preserve"> states that any insured aged 65 years or older may apply for </w:t>
      </w:r>
      <w:r w:rsidR="007B260C">
        <w:rPr>
          <w:rFonts w:ascii="Times New Roman" w:eastAsia="標楷體" w:hAnsi="Times New Roman" w:cs="Times New Roman"/>
          <w:kern w:val="3"/>
          <w:szCs w:val="24"/>
        </w:rPr>
        <w:t xml:space="preserve">an </w:t>
      </w:r>
      <w:r w:rsidRPr="00885A57">
        <w:rPr>
          <w:rFonts w:ascii="Times New Roman" w:eastAsia="標楷體" w:hAnsi="Times New Roman" w:cs="Times New Roman"/>
          <w:kern w:val="3"/>
          <w:szCs w:val="24"/>
        </w:rPr>
        <w:t xml:space="preserve">old age pension payment. In 2019,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kern w:val="3"/>
          <w:szCs w:val="24"/>
        </w:rPr>
        <w:t xml:space="preserve"> with disabilities accounted for 10.53</w:t>
      </w:r>
      <w:r w:rsidR="00787A2A">
        <w:rPr>
          <w:rFonts w:ascii="Times New Roman" w:eastAsia="標楷體" w:hAnsi="Times New Roman" w:cs="Times New Roman"/>
          <w:kern w:val="3"/>
          <w:szCs w:val="24"/>
        </w:rPr>
        <w:t xml:space="preserve"> percent</w:t>
      </w:r>
      <w:r w:rsidRPr="00885A57">
        <w:rPr>
          <w:rFonts w:ascii="Times New Roman" w:eastAsia="標楷體" w:hAnsi="Times New Roman" w:cs="Times New Roman"/>
          <w:kern w:val="3"/>
          <w:szCs w:val="24"/>
        </w:rPr>
        <w:t xml:space="preserve"> of such payment applicants (Table 28.6). The </w:t>
      </w:r>
      <w:r w:rsidRPr="002153DE">
        <w:rPr>
          <w:rFonts w:ascii="Times New Roman" w:eastAsia="標楷體" w:hAnsi="Times New Roman" w:cs="Times New Roman"/>
          <w:iCs/>
          <w:kern w:val="3"/>
          <w:szCs w:val="24"/>
        </w:rPr>
        <w:t>Labor Insurance Act</w:t>
      </w:r>
      <w:r w:rsidRPr="00885A57">
        <w:rPr>
          <w:rFonts w:ascii="Times New Roman" w:eastAsia="標楷體" w:hAnsi="Times New Roman" w:cs="Times New Roman"/>
          <w:kern w:val="3"/>
          <w:szCs w:val="24"/>
        </w:rPr>
        <w:t xml:space="preserve"> contains provisions concerning</w:t>
      </w:r>
      <w:r w:rsidRPr="00885A57">
        <w:rPr>
          <w:rFonts w:ascii="Times New Roman" w:eastAsia="標楷體" w:hAnsi="Times New Roman" w:cs="Times New Roman"/>
          <w:szCs w:val="24"/>
          <w:shd w:val="clear" w:color="auto" w:fill="FFFFFF"/>
        </w:rPr>
        <w:t xml:space="preserve"> old</w:t>
      </w:r>
      <w:r w:rsidR="003F6195">
        <w:rPr>
          <w:rFonts w:ascii="Times New Roman" w:eastAsia="標楷體" w:hAnsi="Times New Roman" w:cs="Times New Roman"/>
          <w:szCs w:val="24"/>
          <w:shd w:val="clear" w:color="auto" w:fill="FFFFFF"/>
        </w:rPr>
        <w:t xml:space="preserve"> </w:t>
      </w:r>
      <w:r w:rsidRPr="00885A57">
        <w:rPr>
          <w:rFonts w:ascii="Times New Roman" w:eastAsia="標楷體" w:hAnsi="Times New Roman" w:cs="Times New Roman"/>
          <w:szCs w:val="24"/>
          <w:shd w:val="clear" w:color="auto" w:fill="FFFFFF"/>
        </w:rPr>
        <w:t>age</w:t>
      </w:r>
      <w:r w:rsidRPr="00885A57">
        <w:rPr>
          <w:rFonts w:ascii="Times New Roman" w:eastAsia="標楷體" w:hAnsi="Times New Roman" w:cs="Times New Roman"/>
          <w:szCs w:val="24"/>
        </w:rPr>
        <w:t xml:space="preserve"> </w:t>
      </w:r>
      <w:r w:rsidR="0099603F">
        <w:rPr>
          <w:rFonts w:ascii="Times New Roman" w:eastAsia="標楷體" w:hAnsi="Times New Roman" w:cs="Times New Roman"/>
          <w:szCs w:val="24"/>
          <w:shd w:val="clear" w:color="auto" w:fill="FFFFFF"/>
        </w:rPr>
        <w:t>pension</w:t>
      </w:r>
      <w:r w:rsidRPr="00885A57">
        <w:rPr>
          <w:rFonts w:ascii="Times New Roman" w:eastAsia="標楷體" w:hAnsi="Times New Roman" w:cs="Times New Roman"/>
          <w:kern w:val="3"/>
          <w:szCs w:val="24"/>
        </w:rPr>
        <w:t xml:space="preserve"> payments for laborers with disabilities to safeguard their </w:t>
      </w:r>
      <w:r w:rsidRPr="00885A57">
        <w:rPr>
          <w:rFonts w:ascii="Times New Roman" w:eastAsia="標楷體" w:hAnsi="Times New Roman" w:cs="Times New Roman"/>
          <w:kern w:val="3"/>
          <w:szCs w:val="24"/>
        </w:rPr>
        <w:lastRenderedPageBreak/>
        <w:t>financial stability and living after retirement</w:t>
      </w:r>
      <w:r w:rsidRPr="00885A57">
        <w:rPr>
          <w:rStyle w:val="ab"/>
          <w:rFonts w:ascii="Times New Roman" w:eastAsia="標楷體" w:hAnsi="Times New Roman" w:cs="Times New Roman"/>
        </w:rPr>
        <w:footnoteReference w:id="121"/>
      </w:r>
      <w:r w:rsidRPr="00885A57">
        <w:rPr>
          <w:rFonts w:ascii="Times New Roman" w:eastAsia="標楷體" w:hAnsi="Times New Roman" w:cs="Times New Roman"/>
          <w:kern w:val="3"/>
          <w:szCs w:val="24"/>
        </w:rPr>
        <w:t xml:space="preserve"> (Table 28.7). The </w:t>
      </w:r>
      <w:r w:rsidRPr="002153DE">
        <w:rPr>
          <w:rFonts w:ascii="Times New Roman" w:eastAsia="標楷體" w:hAnsi="Times New Roman" w:cs="Times New Roman"/>
          <w:iCs/>
          <w:kern w:val="3"/>
          <w:szCs w:val="24"/>
        </w:rPr>
        <w:t>Labor Pension Act</w:t>
      </w:r>
      <w:r w:rsidRPr="00885A57">
        <w:rPr>
          <w:rFonts w:ascii="Times New Roman" w:eastAsia="標楷體" w:hAnsi="Times New Roman" w:cs="Times New Roman"/>
          <w:kern w:val="3"/>
          <w:szCs w:val="24"/>
        </w:rPr>
        <w:t xml:space="preserve"> states that any laborers aged 60 years or older may apply for a retirement pension (Table 28.8). It further stipulates that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kern w:val="3"/>
          <w:szCs w:val="24"/>
        </w:rPr>
        <w:t xml:space="preserve"> with disabilities may claim early retirement pensions. Between 2016 and 2019, 811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kern w:val="3"/>
          <w:szCs w:val="24"/>
        </w:rPr>
        <w:t xml:space="preserve"> with disabilities applied for lump-sum early retirement pensions (Table 28.9), amounting to roughly NT$211.39 million. The </w:t>
      </w:r>
      <w:r w:rsidRPr="002153DE">
        <w:rPr>
          <w:rFonts w:ascii="Times New Roman" w:eastAsia="標楷體" w:hAnsi="Times New Roman" w:cs="Times New Roman"/>
          <w:iCs/>
          <w:kern w:val="3"/>
          <w:szCs w:val="24"/>
        </w:rPr>
        <w:t>Civil Service Retirement, Severance, and Survivor Relief Act</w:t>
      </w:r>
      <w:r w:rsidRPr="00885A57">
        <w:rPr>
          <w:rFonts w:ascii="Times New Roman" w:eastAsia="標楷體" w:hAnsi="Times New Roman" w:cs="Times New Roman"/>
          <w:kern w:val="3"/>
          <w:szCs w:val="24"/>
        </w:rPr>
        <w:t xml:space="preserve">, which took effect in July 2018, stipulates that a civil servant aged at least 55 years of age and whose seniority exceeds 15 years may apply for voluntary retirement with a fully paid monthly pension if they are found to be semi-incapacitated or </w:t>
      </w:r>
      <w:r w:rsidR="007B260C">
        <w:rPr>
          <w:rFonts w:ascii="Times New Roman" w:eastAsia="標楷體" w:hAnsi="Times New Roman" w:cs="Times New Roman"/>
          <w:kern w:val="3"/>
          <w:szCs w:val="24"/>
        </w:rPr>
        <w:t xml:space="preserve">have </w:t>
      </w:r>
      <w:r w:rsidRPr="00885A57">
        <w:rPr>
          <w:rFonts w:ascii="Times New Roman" w:eastAsia="標楷體" w:hAnsi="Times New Roman" w:cs="Times New Roman"/>
          <w:kern w:val="3"/>
          <w:szCs w:val="24"/>
        </w:rPr>
        <w:t xml:space="preserve">a more severe disability under the </w:t>
      </w:r>
      <w:r w:rsidRPr="002153DE">
        <w:rPr>
          <w:rFonts w:ascii="Times New Roman" w:eastAsia="標楷體" w:hAnsi="Times New Roman" w:cs="Times New Roman"/>
          <w:iCs/>
          <w:kern w:val="3"/>
          <w:szCs w:val="24"/>
        </w:rPr>
        <w:t>Civil Servant and Teacher Insurance Disability Benefit Standards</w:t>
      </w:r>
      <w:r w:rsidRPr="00885A57">
        <w:rPr>
          <w:rFonts w:ascii="Times New Roman" w:eastAsia="標楷體" w:hAnsi="Times New Roman" w:cs="Times New Roman"/>
          <w:kern w:val="3"/>
          <w:szCs w:val="24"/>
        </w:rPr>
        <w:t>, or identified as having a severe physical or mental disability as defined by the central competent health authority. Between July 2018 and December 2019, five civil servants submitted such applications for voluntary retirement due to disability with monthly pension payments (Table 28.10).</w:t>
      </w:r>
    </w:p>
    <w:p w14:paraId="3FA47788" w14:textId="56BD6BCC" w:rsidR="00847A2F" w:rsidRPr="00885A57" w:rsidRDefault="00CF76AC" w:rsidP="001A2139">
      <w:pPr>
        <w:pStyle w:val="10"/>
        <w:spacing w:after="120" w:line="360" w:lineRule="auto"/>
        <w:rPr>
          <w:rFonts w:ascii="Times New Roman" w:hAnsi="Times New Roman"/>
        </w:rPr>
      </w:pPr>
      <w:bookmarkStart w:id="180" w:name="_Toc73108698"/>
      <w:r w:rsidRPr="00885A57">
        <w:rPr>
          <w:rFonts w:ascii="Times New Roman" w:hAnsi="Times New Roman"/>
        </w:rPr>
        <w:t>Article 29</w:t>
      </w:r>
      <w:bookmarkStart w:id="181" w:name="_Toc55900614"/>
      <w:r w:rsidR="00B645D5" w:rsidRPr="00885A57">
        <w:rPr>
          <w:rFonts w:ascii="Times New Roman" w:hAnsi="Times New Roman"/>
        </w:rPr>
        <w:t xml:space="preserve">: </w:t>
      </w:r>
      <w:r w:rsidRPr="00885A57">
        <w:rPr>
          <w:rFonts w:ascii="Times New Roman" w:hAnsi="Times New Roman"/>
        </w:rPr>
        <w:t>Participation in political and public life</w:t>
      </w:r>
      <w:bookmarkEnd w:id="180"/>
      <w:bookmarkEnd w:id="181"/>
    </w:p>
    <w:p w14:paraId="0EC524A5" w14:textId="4A3DC042" w:rsidR="00F204C1" w:rsidRPr="00885A57" w:rsidRDefault="009F772B" w:rsidP="001A2139">
      <w:pPr>
        <w:pStyle w:val="a7"/>
        <w:numPr>
          <w:ilvl w:val="0"/>
          <w:numId w:val="45"/>
        </w:numPr>
        <w:spacing w:after="120" w:line="360" w:lineRule="auto"/>
        <w:ind w:leftChars="0" w:left="567" w:hanging="567"/>
        <w:jc w:val="both"/>
        <w:rPr>
          <w:rFonts w:ascii="Times New Roman" w:eastAsia="標楷體" w:hAnsi="Times New Roman" w:cs="Times New Roman"/>
        </w:rPr>
      </w:pPr>
      <w:bookmarkStart w:id="182" w:name="_Ref55917099"/>
      <w:r w:rsidRPr="00885A57">
        <w:rPr>
          <w:rFonts w:ascii="Times New Roman" w:eastAsia="標楷體" w:hAnsi="Times New Roman" w:cs="Times New Roman"/>
          <w:szCs w:val="24"/>
        </w:rPr>
        <w:t xml:space="preserve">In 2018, the MOI invited DPOs, experts, scholars, and </w:t>
      </w:r>
      <w:r w:rsidR="003E6F92">
        <w:rPr>
          <w:rFonts w:ascii="Times New Roman" w:eastAsia="標楷體" w:hAnsi="Times New Roman" w:cs="Times New Roman"/>
          <w:szCs w:val="24"/>
        </w:rPr>
        <w:t>government</w:t>
      </w:r>
      <w:r w:rsidRPr="00885A57">
        <w:rPr>
          <w:rFonts w:ascii="Times New Roman" w:eastAsia="標楷體" w:hAnsi="Times New Roman" w:cs="Times New Roman"/>
          <w:szCs w:val="24"/>
        </w:rPr>
        <w:t xml:space="preserve"> agencies to attend the Symposium on Problems Concerning Suffrage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Under Guardianship; the outcome of the symposium was a decision to remove existing restrictions on voting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under guardianship from </w:t>
      </w:r>
      <w:r w:rsidRPr="002153DE">
        <w:rPr>
          <w:rFonts w:ascii="Times New Roman" w:eastAsia="標楷體" w:hAnsi="Times New Roman" w:cs="Times New Roman"/>
          <w:iCs/>
          <w:szCs w:val="24"/>
        </w:rPr>
        <w:t>the Presidential and Vice Presidential Election and Recall Act</w:t>
      </w:r>
      <w:r w:rsidRPr="00885A57">
        <w:rPr>
          <w:rFonts w:ascii="Times New Roman" w:eastAsia="標楷體" w:hAnsi="Times New Roman" w:cs="Times New Roman"/>
          <w:szCs w:val="24"/>
        </w:rPr>
        <w:t xml:space="preserve"> and </w:t>
      </w:r>
      <w:r w:rsidR="007B260C">
        <w:rPr>
          <w:rFonts w:ascii="Times New Roman" w:eastAsia="標楷體" w:hAnsi="Times New Roman" w:cs="Times New Roman"/>
          <w:szCs w:val="24"/>
        </w:rPr>
        <w:t xml:space="preserve">the </w:t>
      </w:r>
      <w:r w:rsidRPr="002153DE">
        <w:rPr>
          <w:rFonts w:ascii="Times New Roman" w:eastAsia="標楷體" w:hAnsi="Times New Roman" w:cs="Times New Roman"/>
          <w:iCs/>
          <w:szCs w:val="24"/>
        </w:rPr>
        <w:t xml:space="preserve">Civil Servants Election and </w:t>
      </w:r>
      <w:r w:rsidRPr="002153DE">
        <w:rPr>
          <w:rFonts w:ascii="Times New Roman" w:eastAsia="標楷體" w:hAnsi="Times New Roman" w:cs="Times New Roman"/>
          <w:iCs/>
          <w:szCs w:val="24"/>
        </w:rPr>
        <w:lastRenderedPageBreak/>
        <w:t>Recall Act</w:t>
      </w:r>
      <w:r w:rsidRPr="00885A57">
        <w:rPr>
          <w:rFonts w:ascii="Times New Roman" w:eastAsia="標楷體" w:hAnsi="Times New Roman" w:cs="Times New Roman"/>
          <w:szCs w:val="24"/>
        </w:rPr>
        <w:t xml:space="preserve">; however, at that time, necessary amendments were not immediately made through the legislative process. In 2020, Taiwan did amend these two acts and specified that voters with disabilities may select companions other than their family members when voting. Thus, the </w:t>
      </w:r>
      <w:r w:rsidR="007B260C">
        <w:rPr>
          <w:rFonts w:ascii="Times New Roman" w:eastAsia="標楷體" w:hAnsi="Times New Roman" w:cs="Times New Roman"/>
          <w:szCs w:val="24"/>
        </w:rPr>
        <w:t xml:space="preserve">conditions of the </w:t>
      </w:r>
      <w:r w:rsidRPr="00885A57">
        <w:rPr>
          <w:rFonts w:ascii="Times New Roman" w:eastAsia="標楷體" w:hAnsi="Times New Roman" w:cs="Times New Roman"/>
          <w:szCs w:val="24"/>
        </w:rPr>
        <w:t xml:space="preserve">CRPD </w:t>
      </w:r>
      <w:r w:rsidR="007B260C">
        <w:rPr>
          <w:rFonts w:ascii="Times New Roman" w:eastAsia="標楷體" w:hAnsi="Times New Roman" w:cs="Times New Roman"/>
          <w:szCs w:val="24"/>
        </w:rPr>
        <w:t xml:space="preserve">are </w:t>
      </w:r>
      <w:r w:rsidRPr="00885A57">
        <w:rPr>
          <w:rFonts w:ascii="Times New Roman" w:eastAsia="標楷體" w:hAnsi="Times New Roman" w:cs="Times New Roman"/>
          <w:szCs w:val="24"/>
        </w:rPr>
        <w:t>satisfied.</w:t>
      </w:r>
      <w:bookmarkEnd w:id="182"/>
      <w:r w:rsidRPr="00885A57">
        <w:rPr>
          <w:rFonts w:ascii="Times New Roman" w:eastAsia="標楷體" w:hAnsi="Times New Roman" w:cs="Times New Roman"/>
          <w:vertAlign w:val="superscript"/>
        </w:rPr>
        <w:footnoteReference w:id="122"/>
      </w:r>
    </w:p>
    <w:p w14:paraId="467509CC" w14:textId="7633D003" w:rsidR="00A90A77" w:rsidRPr="00885A57" w:rsidRDefault="009F772B" w:rsidP="001A2139">
      <w:pPr>
        <w:pStyle w:val="a7"/>
        <w:numPr>
          <w:ilvl w:val="0"/>
          <w:numId w:val="45"/>
        </w:numPr>
        <w:spacing w:after="120" w:line="360" w:lineRule="auto"/>
        <w:ind w:leftChars="0" w:left="567" w:hanging="567"/>
        <w:jc w:val="both"/>
        <w:rPr>
          <w:rFonts w:ascii="Times New Roman" w:eastAsia="標楷體" w:hAnsi="Times New Roman" w:cs="Times New Roman"/>
        </w:rPr>
      </w:pPr>
      <w:bookmarkStart w:id="183" w:name="sdfootnote1anc"/>
      <w:bookmarkStart w:id="184" w:name="_Ref55917190"/>
      <w:bookmarkEnd w:id="183"/>
      <w:r w:rsidRPr="00885A57">
        <w:rPr>
          <w:rFonts w:ascii="Times New Roman" w:eastAsia="標楷體" w:hAnsi="Times New Roman" w:cs="Times New Roman"/>
          <w:kern w:val="0"/>
          <w:szCs w:val="24"/>
        </w:rPr>
        <w:t xml:space="preserve">To increase access to information </w:t>
      </w:r>
      <w:r w:rsidR="007B260C">
        <w:rPr>
          <w:rFonts w:ascii="Times New Roman" w:eastAsia="標楷體" w:hAnsi="Times New Roman" w:cs="Times New Roman"/>
          <w:kern w:val="0"/>
          <w:szCs w:val="24"/>
        </w:rPr>
        <w:t>about</w:t>
      </w:r>
      <w:r w:rsidRPr="00885A57">
        <w:rPr>
          <w:rFonts w:ascii="Times New Roman" w:eastAsia="標楷體" w:hAnsi="Times New Roman" w:cs="Times New Roman"/>
          <w:kern w:val="0"/>
          <w:szCs w:val="24"/>
        </w:rPr>
        <w:t xml:space="preserve"> election candidates for voters, the government has adopted various promotional approaches to provide voters with disabilities relevant election information. Local election commissions produce audio versions of candidate bulletins (in </w:t>
      </w:r>
      <w:r w:rsidR="002C63E0">
        <w:rPr>
          <w:rFonts w:ascii="Times New Roman" w:eastAsia="標楷體" w:hAnsi="Times New Roman" w:cs="Times New Roman"/>
          <w:kern w:val="0"/>
          <w:szCs w:val="24"/>
        </w:rPr>
        <w:t>Mandarin</w:t>
      </w:r>
      <w:r w:rsidRPr="00885A57">
        <w:rPr>
          <w:rFonts w:ascii="Times New Roman" w:eastAsia="標楷體" w:hAnsi="Times New Roman" w:cs="Times New Roman"/>
          <w:kern w:val="0"/>
          <w:szCs w:val="24"/>
        </w:rPr>
        <w:t xml:space="preserve">, Taiwanese, and Hakka) based on the written version and deliver them to voters with visual impairment through various channels within their jurisdiction, including NGOs for the </w:t>
      </w:r>
      <w:r w:rsidR="002C63E0">
        <w:rPr>
          <w:rFonts w:ascii="Times New Roman" w:eastAsia="標楷體" w:hAnsi="Times New Roman" w:cs="Times New Roman"/>
          <w:kern w:val="0"/>
          <w:szCs w:val="24"/>
        </w:rPr>
        <w:t>people with visual impairment</w:t>
      </w:r>
      <w:r w:rsidRPr="00885A57">
        <w:rPr>
          <w:rFonts w:ascii="Times New Roman" w:eastAsia="標楷體" w:hAnsi="Times New Roman" w:cs="Times New Roman"/>
          <w:kern w:val="0"/>
          <w:szCs w:val="24"/>
        </w:rPr>
        <w:t xml:space="preserve">, township/city/district offices, and village administrative organizations. The Central Election Commission and its affiliated election commissions broadcast party platform presentations on television and appoint simultaneous sign language interpreters. Since 2018, the commission has published </w:t>
      </w:r>
      <w:r w:rsidR="00931A86">
        <w:rPr>
          <w:rFonts w:ascii="Times New Roman" w:eastAsia="標楷體" w:hAnsi="Times New Roman" w:cs="Times New Roman"/>
          <w:kern w:val="0"/>
          <w:szCs w:val="24"/>
        </w:rPr>
        <w:t>easy-to-read</w:t>
      </w:r>
      <w:r w:rsidRPr="00885A57">
        <w:rPr>
          <w:rFonts w:ascii="Times New Roman" w:eastAsia="標楷體" w:hAnsi="Times New Roman" w:cs="Times New Roman"/>
          <w:kern w:val="0"/>
          <w:szCs w:val="24"/>
        </w:rPr>
        <w:t xml:space="preserve"> voting manuals, informing voters with disabilities of the voting process and relevant notice</w:t>
      </w:r>
      <w:r w:rsidR="007B260C">
        <w:rPr>
          <w:rFonts w:ascii="Times New Roman" w:eastAsia="標楷體" w:hAnsi="Times New Roman" w:cs="Times New Roman"/>
          <w:kern w:val="0"/>
          <w:szCs w:val="24"/>
        </w:rPr>
        <w:t>s</w:t>
      </w:r>
      <w:r w:rsidRPr="00885A57">
        <w:rPr>
          <w:rFonts w:ascii="Times New Roman" w:eastAsia="標楷體" w:hAnsi="Times New Roman" w:cs="Times New Roman"/>
          <w:kern w:val="0"/>
          <w:szCs w:val="24"/>
        </w:rPr>
        <w:t>.</w:t>
      </w:r>
      <w:bookmarkEnd w:id="184"/>
      <w:r w:rsidRPr="00885A57">
        <w:rPr>
          <w:rFonts w:ascii="Times New Roman" w:eastAsia="標楷體" w:hAnsi="Times New Roman" w:cs="Times New Roman"/>
          <w:vertAlign w:val="superscript"/>
        </w:rPr>
        <w:footnoteReference w:id="123"/>
      </w:r>
    </w:p>
    <w:p w14:paraId="23895962" w14:textId="25958DE4" w:rsidR="00457EBE" w:rsidRPr="00885A57" w:rsidRDefault="009F772B"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rPr>
        <w:t xml:space="preserve">To safeguard the voting rights of people with disabilities, the Central Election Commission promotes accessibility </w:t>
      </w:r>
      <w:r w:rsidR="007B260C">
        <w:rPr>
          <w:rFonts w:ascii="Times New Roman" w:eastAsia="標楷體" w:hAnsi="Times New Roman" w:cs="Times New Roman"/>
        </w:rPr>
        <w:t>at</w:t>
      </w:r>
      <w:r w:rsidR="007B260C" w:rsidRPr="00885A57">
        <w:rPr>
          <w:rFonts w:ascii="Times New Roman" w:eastAsia="標楷體" w:hAnsi="Times New Roman" w:cs="Times New Roman"/>
        </w:rPr>
        <w:t xml:space="preserve"> </w:t>
      </w:r>
      <w:r w:rsidRPr="00885A57">
        <w:rPr>
          <w:rFonts w:ascii="Times New Roman" w:eastAsia="標楷體" w:hAnsi="Times New Roman" w:cs="Times New Roman"/>
        </w:rPr>
        <w:t xml:space="preserve">polling stations and provides voting aids for voters with disabilities. Each polling station offers voting auxiliaries for people with visual impairment, allowing said people to independently and autonomously cast a secret ballot. Moreover, each station has voting booths </w:t>
      </w:r>
      <w:r w:rsidR="007B260C">
        <w:rPr>
          <w:rFonts w:ascii="Times New Roman" w:eastAsia="標楷體" w:hAnsi="Times New Roman" w:cs="Times New Roman"/>
        </w:rPr>
        <w:t xml:space="preserve">for </w:t>
      </w:r>
      <w:r w:rsidRPr="00885A57">
        <w:rPr>
          <w:rFonts w:ascii="Times New Roman" w:eastAsia="標楷體" w:hAnsi="Times New Roman" w:cs="Times New Roman"/>
        </w:rPr>
        <w:lastRenderedPageBreak/>
        <w:t xml:space="preserve">people with disabilities, allows companions of </w:t>
      </w:r>
      <w:r w:rsidR="007B260C">
        <w:rPr>
          <w:rFonts w:ascii="Times New Roman" w:eastAsia="標楷體" w:hAnsi="Times New Roman" w:cs="Times New Roman"/>
        </w:rPr>
        <w:t xml:space="preserve">these individuals </w:t>
      </w:r>
      <w:r w:rsidRPr="00885A57">
        <w:rPr>
          <w:rFonts w:ascii="Times New Roman" w:eastAsia="標楷體" w:hAnsi="Times New Roman" w:cs="Times New Roman"/>
        </w:rPr>
        <w:t xml:space="preserve">to provide assistance during voting or </w:t>
      </w:r>
      <w:r w:rsidR="007B260C">
        <w:rPr>
          <w:rFonts w:ascii="Times New Roman" w:eastAsia="標楷體" w:hAnsi="Times New Roman" w:cs="Times New Roman"/>
        </w:rPr>
        <w:t xml:space="preserve">to </w:t>
      </w:r>
      <w:r w:rsidRPr="00885A57">
        <w:rPr>
          <w:rFonts w:ascii="Times New Roman" w:eastAsia="標楷體" w:hAnsi="Times New Roman" w:cs="Times New Roman"/>
        </w:rPr>
        <w:t xml:space="preserve">vote on the person’s behalf, and allows </w:t>
      </w:r>
      <w:r w:rsidR="007B260C">
        <w:rPr>
          <w:rFonts w:ascii="Times New Roman" w:eastAsia="標楷體" w:hAnsi="Times New Roman" w:cs="Times New Roman"/>
        </w:rPr>
        <w:t xml:space="preserve">these </w:t>
      </w:r>
      <w:r w:rsidRPr="00885A57">
        <w:rPr>
          <w:rFonts w:ascii="Times New Roman" w:eastAsia="標楷體" w:hAnsi="Times New Roman" w:cs="Times New Roman"/>
        </w:rPr>
        <w:t xml:space="preserve">people </w:t>
      </w:r>
      <w:r w:rsidR="007B260C">
        <w:rPr>
          <w:rFonts w:ascii="Times New Roman" w:eastAsia="標楷體" w:hAnsi="Times New Roman" w:cs="Times New Roman"/>
        </w:rPr>
        <w:t>priority preference in queuing</w:t>
      </w:r>
      <w:r w:rsidRPr="00885A57">
        <w:rPr>
          <w:rFonts w:ascii="Times New Roman" w:eastAsia="標楷體" w:hAnsi="Times New Roman" w:cs="Times New Roman"/>
        </w:rPr>
        <w:t>. These measures are detailed in work manuals for polling station staff, and the training of election officers is designed to cover such measures. To ensure the appropriateness of polling station locations, the commission established the Precautionary Matters for Selecting Polling Stations with Accessible Facilities and Checklist for Assessing the Accessibility of Polling Station Facilities for relevant inspection. During the latest election in 2020, 92.02</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of polling stations met the specified accessibility regulations (compared with 88</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in 2016). For the remaining 7.98</w:t>
      </w:r>
      <w:r w:rsidR="00787A2A">
        <w:rPr>
          <w:rFonts w:ascii="Times New Roman" w:eastAsia="標楷體" w:hAnsi="Times New Roman" w:cs="Times New Roman"/>
        </w:rPr>
        <w:t xml:space="preserve"> percent</w:t>
      </w:r>
      <w:r w:rsidRPr="00885A57">
        <w:rPr>
          <w:rFonts w:ascii="Times New Roman" w:eastAsia="標楷體" w:hAnsi="Times New Roman" w:cs="Times New Roman"/>
        </w:rPr>
        <w:t xml:space="preserve"> of stations that failed to meet accessibility requirements, alternatives were adopted, such as installation of simple accessible facilities</w:t>
      </w:r>
      <w:r w:rsidRPr="00885A57">
        <w:rPr>
          <w:rStyle w:val="ab"/>
          <w:rFonts w:ascii="Times New Roman" w:eastAsia="標楷體" w:hAnsi="Times New Roman" w:cs="Times New Roman"/>
        </w:rPr>
        <w:footnoteReference w:id="124"/>
      </w:r>
      <w:r w:rsidRPr="00885A57">
        <w:rPr>
          <w:rFonts w:ascii="Times New Roman" w:eastAsia="標楷體" w:hAnsi="Times New Roman" w:cs="Times New Roman"/>
        </w:rPr>
        <w:t xml:space="preserve"> or provision of assistance by designated people on site, to help voters with disabilities cast their vote.</w:t>
      </w:r>
    </w:p>
    <w:p w14:paraId="39D34258" w14:textId="6CCFA34C" w:rsidR="00947387" w:rsidRPr="00885A57" w:rsidRDefault="009F772B" w:rsidP="001A2139">
      <w:pPr>
        <w:pStyle w:val="a7"/>
        <w:numPr>
          <w:ilvl w:val="0"/>
          <w:numId w:val="45"/>
        </w:numPr>
        <w:spacing w:after="120" w:line="360" w:lineRule="auto"/>
        <w:ind w:leftChars="0" w:left="567" w:hanging="567"/>
        <w:jc w:val="both"/>
        <w:rPr>
          <w:rFonts w:ascii="Times New Roman" w:eastAsia="標楷體" w:hAnsi="Times New Roman" w:cs="Times New Roman"/>
        </w:rPr>
      </w:pPr>
      <w:r w:rsidRPr="00885A57">
        <w:rPr>
          <w:rFonts w:ascii="Times New Roman" w:eastAsia="標楷體" w:hAnsi="Times New Roman" w:cs="Times New Roman"/>
          <w:kern w:val="0"/>
          <w:szCs w:val="24"/>
        </w:rPr>
        <w:t xml:space="preserve">According to the </w:t>
      </w:r>
      <w:r w:rsidRPr="002153DE">
        <w:rPr>
          <w:rFonts w:ascii="Times New Roman" w:eastAsia="標楷體" w:hAnsi="Times New Roman" w:cs="Times New Roman"/>
          <w:iCs/>
          <w:kern w:val="0"/>
          <w:szCs w:val="24"/>
        </w:rPr>
        <w:t>Political Parties Act</w:t>
      </w:r>
      <w:r w:rsidRPr="00885A57">
        <w:rPr>
          <w:rFonts w:ascii="Times New Roman" w:eastAsia="標楷體" w:hAnsi="Times New Roman" w:cs="Times New Roman"/>
          <w:kern w:val="0"/>
          <w:szCs w:val="24"/>
        </w:rPr>
        <w:t xml:space="preserve">, </w:t>
      </w:r>
      <w:r w:rsidR="00BA38DF">
        <w:rPr>
          <w:rFonts w:ascii="Times New Roman" w:eastAsia="標楷體" w:hAnsi="Times New Roman" w:cs="Times New Roman"/>
          <w:kern w:val="0"/>
          <w:szCs w:val="24"/>
        </w:rPr>
        <w:t>people</w:t>
      </w:r>
      <w:r w:rsidRPr="00885A57">
        <w:rPr>
          <w:rFonts w:ascii="Times New Roman" w:eastAsia="標楷體" w:hAnsi="Times New Roman" w:cs="Times New Roman"/>
          <w:kern w:val="0"/>
          <w:szCs w:val="24"/>
        </w:rPr>
        <w:t xml:space="preserve"> with disabilities may freely join any political party, found a party, and nominate candidates for election. By June 2020, 121 parties had been registered in Taiwan; of these parties, the DeafNation Party was founded by people with hearing impairment.</w:t>
      </w:r>
    </w:p>
    <w:p w14:paraId="269B8AEC" w14:textId="41AD2D22" w:rsidR="00847A2F" w:rsidRPr="00885A57" w:rsidRDefault="00CF76AC" w:rsidP="001A2139">
      <w:pPr>
        <w:pStyle w:val="10"/>
        <w:spacing w:after="120" w:line="360" w:lineRule="auto"/>
        <w:rPr>
          <w:rFonts w:ascii="Times New Roman" w:hAnsi="Times New Roman"/>
        </w:rPr>
      </w:pPr>
      <w:bookmarkStart w:id="185" w:name="_Toc73108699"/>
      <w:r w:rsidRPr="00885A57">
        <w:rPr>
          <w:rFonts w:ascii="Times New Roman" w:hAnsi="Times New Roman"/>
        </w:rPr>
        <w:t>Article 30</w:t>
      </w:r>
      <w:bookmarkStart w:id="186" w:name="_Toc55900616"/>
      <w:r w:rsidR="00085515" w:rsidRPr="00885A57">
        <w:rPr>
          <w:rFonts w:ascii="Times New Roman" w:hAnsi="Times New Roman"/>
        </w:rPr>
        <w:t xml:space="preserve">: </w:t>
      </w:r>
      <w:r w:rsidRPr="00885A57">
        <w:rPr>
          <w:rFonts w:ascii="Times New Roman" w:hAnsi="Times New Roman"/>
        </w:rPr>
        <w:t>Participation in cultural life, recreation, leisure, and sport</w:t>
      </w:r>
      <w:bookmarkEnd w:id="185"/>
      <w:bookmarkEnd w:id="186"/>
    </w:p>
    <w:p w14:paraId="382D439F" w14:textId="2A0168FA" w:rsidR="00F5248C" w:rsidRPr="00885A57" w:rsidRDefault="009F772B" w:rsidP="001A2139">
      <w:pPr>
        <w:pStyle w:val="2"/>
        <w:spacing w:after="120" w:line="360" w:lineRule="auto"/>
        <w:rPr>
          <w:rFonts w:eastAsia="標楷體"/>
          <w:sz w:val="24"/>
          <w:szCs w:val="24"/>
        </w:rPr>
      </w:pPr>
      <w:r w:rsidRPr="00885A57">
        <w:rPr>
          <w:rFonts w:eastAsia="標楷體"/>
          <w:b w:val="0"/>
          <w:sz w:val="24"/>
          <w:szCs w:val="24"/>
        </w:rPr>
        <w:t>A.  Legal and regulatory protection</w:t>
      </w:r>
    </w:p>
    <w:p w14:paraId="69A73653" w14:textId="2614FBD5" w:rsidR="00F5248C" w:rsidRPr="00885A57" w:rsidRDefault="00D12AA4"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Amended and promulgated in 2017, the </w:t>
      </w:r>
      <w:r w:rsidRPr="002153DE">
        <w:rPr>
          <w:rFonts w:ascii="Times New Roman" w:eastAsia="標楷體" w:hAnsi="Times New Roman" w:cs="Times New Roman"/>
          <w:iCs/>
          <w:szCs w:val="24"/>
        </w:rPr>
        <w:t>National Sports Act</w:t>
      </w:r>
      <w:r w:rsidRPr="00885A57">
        <w:rPr>
          <w:rFonts w:ascii="Times New Roman" w:eastAsia="標楷體" w:hAnsi="Times New Roman" w:cs="Times New Roman"/>
          <w:szCs w:val="24"/>
        </w:rPr>
        <w:t xml:space="preserve"> mandates </w:t>
      </w:r>
      <w:r w:rsidR="00233BE3">
        <w:rPr>
          <w:rFonts w:ascii="Times New Roman" w:eastAsia="標楷體" w:hAnsi="Times New Roman" w:cs="Times New Roman"/>
          <w:szCs w:val="24"/>
        </w:rPr>
        <w:t xml:space="preserve">that </w:t>
      </w:r>
      <w:r w:rsidRPr="00885A57">
        <w:rPr>
          <w:rFonts w:ascii="Times New Roman" w:eastAsia="標楷體" w:hAnsi="Times New Roman" w:cs="Times New Roman"/>
          <w:szCs w:val="24"/>
        </w:rPr>
        <w:t xml:space="preserve">all authorities, institutions, schools, legal persons, and organizations protect the right </w:t>
      </w:r>
      <w:r w:rsidRPr="00885A57">
        <w:rPr>
          <w:rFonts w:ascii="Times New Roman" w:eastAsia="標楷體" w:hAnsi="Times New Roman" w:cs="Times New Roman"/>
          <w:szCs w:val="24"/>
        </w:rPr>
        <w:lastRenderedPageBreak/>
        <w:t xml:space="preserve">of </w:t>
      </w:r>
      <w:r w:rsidR="004567A4">
        <w:rPr>
          <w:rFonts w:ascii="Times New Roman" w:eastAsia="標楷體" w:hAnsi="Times New Roman" w:cs="Times New Roman"/>
          <w:szCs w:val="24"/>
        </w:rPr>
        <w:t>people</w:t>
      </w:r>
      <w:r w:rsidRPr="00885A57">
        <w:rPr>
          <w:rFonts w:ascii="Times New Roman" w:eastAsia="標楷體" w:hAnsi="Times New Roman" w:cs="Times New Roman"/>
          <w:szCs w:val="24"/>
        </w:rPr>
        <w:t xml:space="preserve"> with disabilities to participate in sports and to design accessible sports facilities, activities, and courses to adhere to the CRPD. Through the Project of Adapted Physical Education, the MOE tailors physical education curricula for students with disabilities through the establishment of digital platforms, selection of pilot schools, promoting skills enhancement of teachers, and launching campaigns and promotions. The project</w:t>
      </w:r>
      <w:r w:rsidRPr="00885A57">
        <w:rPr>
          <w:rFonts w:ascii="Times New Roman" w:eastAsia="標楷體" w:hAnsi="Times New Roman" w:cs="Times New Roman"/>
          <w:szCs w:val="24"/>
          <w:shd w:val="clear" w:color="auto" w:fill="FFFFFF" w:themeFill="background1"/>
        </w:rPr>
        <w:t xml:space="preserve"> provided</w:t>
      </w:r>
      <w:r w:rsidRPr="00885A57">
        <w:rPr>
          <w:rFonts w:ascii="Times New Roman" w:eastAsia="標楷體" w:hAnsi="Times New Roman" w:cs="Times New Roman"/>
          <w:szCs w:val="24"/>
        </w:rPr>
        <w:t xml:space="preserve"> students with disabilities equal opportunities to participate in sports activities as </w:t>
      </w:r>
      <w:r w:rsidR="00B13DC0" w:rsidRPr="00885A57">
        <w:rPr>
          <w:rFonts w:ascii="Times New Roman" w:eastAsia="標楷體" w:hAnsi="Times New Roman" w:cs="Times New Roman"/>
          <w:szCs w:val="24"/>
        </w:rPr>
        <w:t>nondisabled students</w:t>
      </w:r>
      <w:r w:rsidRPr="00885A57">
        <w:rPr>
          <w:rFonts w:ascii="Times New Roman" w:eastAsia="標楷體" w:hAnsi="Times New Roman" w:cs="Times New Roman"/>
          <w:szCs w:val="24"/>
        </w:rPr>
        <w:t xml:space="preserve">. In </w:t>
      </w:r>
      <w:r w:rsidR="006723CC">
        <w:rPr>
          <w:rFonts w:ascii="Times New Roman" w:eastAsia="標楷體" w:hAnsi="Times New Roman" w:cs="Times New Roman"/>
          <w:szCs w:val="24"/>
        </w:rPr>
        <w:t xml:space="preserve">the period </w:t>
      </w:r>
      <w:r w:rsidRPr="00885A57">
        <w:rPr>
          <w:rFonts w:ascii="Times New Roman" w:eastAsia="標楷體" w:hAnsi="Times New Roman" w:cs="Times New Roman"/>
          <w:szCs w:val="24"/>
        </w:rPr>
        <w:t>2017</w:t>
      </w:r>
      <w:r w:rsidR="006723CC">
        <w:rPr>
          <w:rFonts w:ascii="Times New Roman" w:eastAsia="標楷體" w:hAnsi="Times New Roman" w:cs="Times New Roman"/>
          <w:szCs w:val="24"/>
        </w:rPr>
        <w:t>-</w:t>
      </w:r>
      <w:r w:rsidRPr="00885A57">
        <w:rPr>
          <w:rFonts w:ascii="Times New Roman" w:eastAsia="標楷體" w:hAnsi="Times New Roman" w:cs="Times New Roman"/>
          <w:szCs w:val="24"/>
        </w:rPr>
        <w:t xml:space="preserve">2020, the MOE designated eight pilot schools for adapted physical education, created professional communities of </w:t>
      </w:r>
      <w:r w:rsidR="00800E40">
        <w:rPr>
          <w:rFonts w:ascii="Times New Roman" w:eastAsia="標楷體" w:hAnsi="Times New Roman" w:cs="Times New Roman"/>
          <w:szCs w:val="24"/>
        </w:rPr>
        <w:t xml:space="preserve">adapted </w:t>
      </w:r>
      <w:r w:rsidRPr="00F370E0">
        <w:rPr>
          <w:rFonts w:ascii="Times New Roman" w:eastAsia="標楷體" w:hAnsi="Times New Roman" w:cs="Times New Roman"/>
          <w:szCs w:val="24"/>
        </w:rPr>
        <w:t>physical</w:t>
      </w:r>
      <w:r w:rsidRPr="00885A57">
        <w:rPr>
          <w:rFonts w:ascii="Times New Roman" w:eastAsia="標楷體" w:hAnsi="Times New Roman" w:cs="Times New Roman"/>
          <w:szCs w:val="24"/>
        </w:rPr>
        <w:t xml:space="preserve"> education teachers</w:t>
      </w:r>
      <w:r w:rsidR="00800E40">
        <w:rPr>
          <w:rFonts w:ascii="Times New Roman" w:eastAsia="標楷體" w:hAnsi="Times New Roman" w:cs="Times New Roman"/>
          <w:szCs w:val="24"/>
        </w:rPr>
        <w:t xml:space="preserve"> across schools</w:t>
      </w:r>
      <w:r w:rsidRPr="00885A57">
        <w:rPr>
          <w:rFonts w:ascii="Times New Roman" w:eastAsia="標楷體" w:hAnsi="Times New Roman" w:cs="Times New Roman"/>
          <w:szCs w:val="24"/>
        </w:rPr>
        <w:t xml:space="preserve">, organized counseling and teaching demonstration workshops, compiled 1,531 </w:t>
      </w:r>
      <w:r w:rsidRPr="00466FBD">
        <w:rPr>
          <w:rFonts w:ascii="Times New Roman" w:eastAsia="標楷體" w:hAnsi="Times New Roman" w:cs="Times New Roman"/>
          <w:szCs w:val="24"/>
        </w:rPr>
        <w:t>adapted education talents</w:t>
      </w:r>
      <w:r w:rsidRPr="00885A57">
        <w:rPr>
          <w:rFonts w:ascii="Times New Roman" w:eastAsia="標楷體" w:hAnsi="Times New Roman" w:cs="Times New Roman"/>
          <w:szCs w:val="24"/>
        </w:rPr>
        <w:t xml:space="preserve"> in the human resources database, hosted 36 skills enhancement workshops for teachers, and attracted 40,000 views of </w:t>
      </w:r>
      <w:r w:rsidR="00233BE3">
        <w:rPr>
          <w:rFonts w:ascii="Times New Roman" w:eastAsia="標楷體" w:hAnsi="Times New Roman" w:cs="Times New Roman"/>
          <w:szCs w:val="24"/>
        </w:rPr>
        <w:t xml:space="preserve">its </w:t>
      </w:r>
      <w:r w:rsidRPr="00885A57">
        <w:rPr>
          <w:rFonts w:ascii="Times New Roman" w:eastAsia="標楷體" w:hAnsi="Times New Roman" w:cs="Times New Roman"/>
          <w:szCs w:val="24"/>
        </w:rPr>
        <w:t xml:space="preserve">adapted education platform, </w:t>
      </w:r>
      <w:r w:rsidR="00233BE3">
        <w:rPr>
          <w:rFonts w:ascii="Times New Roman" w:eastAsia="標楷體" w:hAnsi="Times New Roman" w:cs="Times New Roman"/>
          <w:szCs w:val="24"/>
        </w:rPr>
        <w:t xml:space="preserve">thus sharing </w:t>
      </w:r>
      <w:r w:rsidRPr="00885A57">
        <w:rPr>
          <w:rFonts w:ascii="Times New Roman" w:eastAsia="標楷體" w:hAnsi="Times New Roman" w:cs="Times New Roman"/>
          <w:szCs w:val="24"/>
        </w:rPr>
        <w:t xml:space="preserve">adapted education topics </w:t>
      </w:r>
      <w:r w:rsidR="00233BE3">
        <w:rPr>
          <w:rFonts w:ascii="Times New Roman" w:eastAsia="標楷體" w:hAnsi="Times New Roman" w:cs="Times New Roman"/>
          <w:szCs w:val="24"/>
        </w:rPr>
        <w:t xml:space="preserve">with </w:t>
      </w:r>
      <w:r w:rsidRPr="00885A57">
        <w:rPr>
          <w:rFonts w:ascii="Times New Roman" w:eastAsia="標楷體" w:hAnsi="Times New Roman" w:cs="Times New Roman"/>
          <w:szCs w:val="24"/>
        </w:rPr>
        <w:t>560,000 people.</w:t>
      </w:r>
    </w:p>
    <w:p w14:paraId="6A2E1597" w14:textId="5B6FF117" w:rsidR="00F5248C" w:rsidRPr="00885A57" w:rsidRDefault="00D12AA4" w:rsidP="009A57CE">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87" w:name="_Ref55917324"/>
      <w:r w:rsidRPr="00885A57">
        <w:rPr>
          <w:rFonts w:ascii="Times New Roman" w:eastAsia="標楷體" w:hAnsi="Times New Roman" w:cs="Times New Roman"/>
          <w:kern w:val="0"/>
          <w:szCs w:val="24"/>
        </w:rPr>
        <w:t xml:space="preserve">Pursuant to the </w:t>
      </w:r>
      <w:r w:rsidRPr="002153DE">
        <w:rPr>
          <w:rFonts w:ascii="Times New Roman" w:eastAsia="標楷體" w:hAnsi="Times New Roman" w:cs="Times New Roman"/>
          <w:iCs/>
          <w:szCs w:val="24"/>
        </w:rPr>
        <w:t>Regulations f</w:t>
      </w:r>
      <w:r w:rsidRPr="002153DE">
        <w:rPr>
          <w:rFonts w:ascii="Times New Roman" w:eastAsia="標楷體" w:hAnsi="Times New Roman" w:cs="Times New Roman"/>
          <w:iCs/>
          <w:kern w:val="0"/>
          <w:szCs w:val="24"/>
          <w:shd w:val="clear" w:color="auto" w:fill="FFFFFF" w:themeFill="background1"/>
        </w:rPr>
        <w:t>or Public Sports Facilities Setting and Management</w:t>
      </w:r>
      <w:r w:rsidRPr="00885A57">
        <w:rPr>
          <w:rFonts w:ascii="Times New Roman" w:eastAsia="標楷體" w:hAnsi="Times New Roman" w:cs="Times New Roman"/>
          <w:kern w:val="0"/>
          <w:szCs w:val="24"/>
        </w:rPr>
        <w:t xml:space="preserve">, </w:t>
      </w:r>
      <w:r w:rsidRPr="00885A57">
        <w:rPr>
          <w:rFonts w:ascii="Times New Roman" w:eastAsia="標楷體" w:hAnsi="Times New Roman" w:cs="Times New Roman"/>
          <w:szCs w:val="24"/>
        </w:rPr>
        <w:t xml:space="preserve">local governments shall establish sport facilities according to regulations that protect the rights of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and offer adaptive, age-appropriate, accessible, and certified sports facilities </w:t>
      </w:r>
      <w:r w:rsidRPr="00885A57">
        <w:rPr>
          <w:rFonts w:ascii="Times New Roman" w:eastAsia="標楷體" w:hAnsi="Times New Roman" w:cs="Times New Roman"/>
          <w:kern w:val="0"/>
          <w:szCs w:val="24"/>
          <w:shd w:val="clear" w:color="auto" w:fill="FFFFFF" w:themeFill="background1"/>
        </w:rPr>
        <w:t>functioning normally</w:t>
      </w:r>
      <w:r w:rsidRPr="00885A57">
        <w:rPr>
          <w:rFonts w:ascii="Times New Roman" w:eastAsia="標楷體" w:hAnsi="Times New Roman" w:cs="Times New Roman"/>
          <w:kern w:val="0"/>
          <w:szCs w:val="24"/>
        </w:rPr>
        <w:t xml:space="preserve">. In 2017, </w:t>
      </w:r>
      <w:r w:rsidR="006723CC">
        <w:rPr>
          <w:rFonts w:ascii="Times New Roman" w:eastAsia="標楷體" w:hAnsi="Times New Roman" w:cs="Times New Roman"/>
          <w:kern w:val="0"/>
          <w:szCs w:val="24"/>
        </w:rPr>
        <w:t xml:space="preserve">the government </w:t>
      </w:r>
      <w:r w:rsidRPr="00885A57">
        <w:rPr>
          <w:rFonts w:ascii="Times New Roman" w:eastAsia="標楷體" w:hAnsi="Times New Roman" w:cs="Times New Roman"/>
          <w:szCs w:val="24"/>
        </w:rPr>
        <w:t>launched the Creation of Sports and Leisure Environments, a subproject affiliated with the Forward-Looking Infrastructure Program: Urban and Rural Construction. Under the subproject, facilities that are friendly to women,</w:t>
      </w:r>
      <w:r w:rsidRPr="00885A57">
        <w:rPr>
          <w:rFonts w:ascii="Times New Roman" w:eastAsia="標楷體" w:hAnsi="Times New Roman" w:cs="Times New Roman"/>
          <w:kern w:val="0"/>
          <w:szCs w:val="24"/>
        </w:rPr>
        <w:t xml:space="preserve"> people</w:t>
      </w:r>
      <w:r w:rsidRPr="00885A57">
        <w:rPr>
          <w:rFonts w:ascii="Times New Roman" w:eastAsia="標楷體" w:hAnsi="Times New Roman" w:cs="Times New Roman"/>
          <w:szCs w:val="24"/>
        </w:rPr>
        <w:t xml:space="preserve"> with disabilities, and </w:t>
      </w:r>
      <w:r w:rsidRPr="00885A57">
        <w:rPr>
          <w:rFonts w:ascii="Times New Roman" w:eastAsia="標楷體" w:hAnsi="Times New Roman" w:cs="Times New Roman"/>
          <w:kern w:val="0"/>
          <w:szCs w:val="24"/>
          <w:shd w:val="clear" w:color="auto" w:fill="FFFFFF" w:themeFill="background1"/>
        </w:rPr>
        <w:t>elderly</w:t>
      </w:r>
      <w:r w:rsidRPr="00885A57">
        <w:rPr>
          <w:rFonts w:ascii="Times New Roman" w:eastAsia="標楷體" w:hAnsi="Times New Roman" w:cs="Times New Roman"/>
          <w:szCs w:val="24"/>
        </w:rPr>
        <w:t xml:space="preserve"> adults are regarded as </w:t>
      </w:r>
      <w:r w:rsidR="00233BE3">
        <w:rPr>
          <w:rFonts w:ascii="Times New Roman" w:eastAsia="標楷體" w:hAnsi="Times New Roman" w:cs="Times New Roman"/>
          <w:kern w:val="0"/>
          <w:szCs w:val="24"/>
          <w:shd w:val="clear" w:color="auto" w:fill="FFFFFF" w:themeFill="background1"/>
        </w:rPr>
        <w:t>having</w:t>
      </w:r>
      <w:r w:rsidR="00233BE3" w:rsidRPr="00885A57">
        <w:rPr>
          <w:rFonts w:ascii="Times New Roman" w:eastAsia="標楷體" w:hAnsi="Times New Roman" w:cs="Times New Roman"/>
          <w:kern w:val="0"/>
          <w:szCs w:val="24"/>
        </w:rPr>
        <w:t xml:space="preserve"> </w:t>
      </w:r>
      <w:r w:rsidRPr="00885A57">
        <w:rPr>
          <w:rFonts w:ascii="Times New Roman" w:eastAsia="標楷體" w:hAnsi="Times New Roman" w:cs="Times New Roman"/>
          <w:szCs w:val="24"/>
        </w:rPr>
        <w:t xml:space="preserve">priority for subsidization by local governments when establishing/renovating </w:t>
      </w:r>
      <w:r w:rsidRPr="00885A57">
        <w:rPr>
          <w:rFonts w:ascii="Times New Roman" w:eastAsia="標楷體" w:hAnsi="Times New Roman" w:cs="Times New Roman"/>
          <w:szCs w:val="24"/>
        </w:rPr>
        <w:lastRenderedPageBreak/>
        <w:t xml:space="preserve">sports facilities. Therefore, the subproject helps improve existing accessible facilities and equipment </w:t>
      </w:r>
      <w:r w:rsidR="00233BE3">
        <w:rPr>
          <w:rFonts w:ascii="Times New Roman" w:eastAsia="標楷體" w:hAnsi="Times New Roman" w:cs="Times New Roman"/>
          <w:szCs w:val="24"/>
        </w:rPr>
        <w:t xml:space="preserve">at </w:t>
      </w:r>
      <w:r w:rsidRPr="00885A57">
        <w:rPr>
          <w:rFonts w:ascii="Times New Roman" w:eastAsia="標楷體" w:hAnsi="Times New Roman" w:cs="Times New Roman"/>
          <w:szCs w:val="24"/>
        </w:rPr>
        <w:t>sports venues, create</w:t>
      </w:r>
      <w:r w:rsidR="00233BE3">
        <w:rPr>
          <w:rFonts w:ascii="Times New Roman" w:eastAsia="標楷體" w:hAnsi="Times New Roman" w:cs="Times New Roman"/>
          <w:szCs w:val="24"/>
        </w:rPr>
        <w:t>s</w:t>
      </w:r>
      <w:r w:rsidRPr="00885A57">
        <w:rPr>
          <w:rFonts w:ascii="Times New Roman" w:eastAsia="標楷體" w:hAnsi="Times New Roman" w:cs="Times New Roman"/>
          <w:szCs w:val="24"/>
        </w:rPr>
        <w:t xml:space="preserve"> safe </w:t>
      </w:r>
      <w:r w:rsidRPr="00F370E0">
        <w:rPr>
          <w:rFonts w:ascii="Times New Roman" w:eastAsia="標楷體" w:hAnsi="Times New Roman" w:cs="Times New Roman"/>
          <w:szCs w:val="24"/>
        </w:rPr>
        <w:t>and</w:t>
      </w:r>
      <w:r w:rsidRPr="00885A57">
        <w:rPr>
          <w:rFonts w:ascii="Times New Roman" w:eastAsia="標楷體" w:hAnsi="Times New Roman" w:cs="Times New Roman"/>
          <w:szCs w:val="24"/>
        </w:rPr>
        <w:t xml:space="preserve"> accessible sports spaces, and protects the right to participate in sports </w:t>
      </w:r>
      <w:r w:rsidR="00233BE3">
        <w:rPr>
          <w:rFonts w:ascii="Times New Roman" w:eastAsia="標楷體" w:hAnsi="Times New Roman" w:cs="Times New Roman"/>
          <w:szCs w:val="24"/>
        </w:rPr>
        <w:t xml:space="preserve">for </w:t>
      </w:r>
      <w:r w:rsidRPr="00F370E0">
        <w:rPr>
          <w:rFonts w:ascii="Times New Roman" w:eastAsia="標楷體" w:hAnsi="Times New Roman" w:cs="Times New Roman"/>
          <w:szCs w:val="24"/>
        </w:rPr>
        <w:t>all ethnic</w:t>
      </w:r>
      <w:r w:rsidRPr="006723CC">
        <w:rPr>
          <w:rFonts w:ascii="Times New Roman" w:eastAsia="標楷體" w:hAnsi="Times New Roman" w:cs="Times New Roman"/>
          <w:szCs w:val="24"/>
        </w:rPr>
        <w:t xml:space="preserve"> </w:t>
      </w:r>
      <w:r w:rsidRPr="00F370E0">
        <w:rPr>
          <w:rFonts w:ascii="Times New Roman" w:eastAsia="標楷體" w:hAnsi="Times New Roman" w:cs="Times New Roman"/>
          <w:szCs w:val="24"/>
        </w:rPr>
        <w:t>groups</w:t>
      </w:r>
      <w:r w:rsidRPr="00885A57">
        <w:rPr>
          <w:rFonts w:ascii="Times New Roman" w:eastAsia="標楷體" w:hAnsi="Times New Roman" w:cs="Times New Roman"/>
          <w:szCs w:val="24"/>
        </w:rPr>
        <w:t xml:space="preserve">. Between 2019 and 2020, the MOE initiated the project Creating Sports Environments Friendly to Groups with Special Needs by collaborating with academia and DPOs to remove discriminatory regulations at sports venues and improve service quality for </w:t>
      </w:r>
      <w:r w:rsidR="00ED436C">
        <w:rPr>
          <w:rFonts w:ascii="Times New Roman" w:eastAsia="標楷體" w:hAnsi="Times New Roman" w:cs="Times New Roman"/>
          <w:szCs w:val="24"/>
        </w:rPr>
        <w:t>people</w:t>
      </w:r>
      <w:r w:rsidRPr="00885A57">
        <w:rPr>
          <w:rFonts w:ascii="Times New Roman" w:eastAsia="標楷體" w:hAnsi="Times New Roman" w:cs="Times New Roman"/>
          <w:szCs w:val="24"/>
        </w:rPr>
        <w:t xml:space="preserve"> with disabilities when playing sports. </w:t>
      </w:r>
      <w:r w:rsidR="00233BE3">
        <w:rPr>
          <w:rFonts w:ascii="Times New Roman" w:eastAsia="標楷體" w:hAnsi="Times New Roman" w:cs="Times New Roman"/>
          <w:szCs w:val="24"/>
        </w:rPr>
        <w:t xml:space="preserve">The </w:t>
      </w:r>
      <w:r w:rsidRPr="00885A57">
        <w:rPr>
          <w:rFonts w:ascii="Times New Roman" w:eastAsia="標楷體" w:hAnsi="Times New Roman" w:cs="Times New Roman"/>
          <w:kern w:val="0"/>
          <w:szCs w:val="24"/>
          <w:shd w:val="clear" w:color="auto" w:fill="FFFFFF" w:themeFill="background1"/>
        </w:rPr>
        <w:t>MOE</w:t>
      </w:r>
      <w:r w:rsidRPr="00885A57">
        <w:rPr>
          <w:rFonts w:ascii="Times New Roman" w:eastAsia="標楷體" w:hAnsi="Times New Roman" w:cs="Times New Roman"/>
          <w:kern w:val="0"/>
          <w:szCs w:val="24"/>
        </w:rPr>
        <w:t xml:space="preserve"> also established the iPlay website for citizens to make inquiries about sport</w:t>
      </w:r>
      <w:r w:rsidR="00233BE3">
        <w:rPr>
          <w:rFonts w:ascii="Times New Roman" w:eastAsia="標楷體" w:hAnsi="Times New Roman" w:cs="Times New Roman"/>
          <w:kern w:val="0"/>
          <w:szCs w:val="24"/>
        </w:rPr>
        <w:t>s</w:t>
      </w:r>
      <w:r w:rsidRPr="00885A57">
        <w:rPr>
          <w:rFonts w:ascii="Times New Roman" w:eastAsia="標楷體" w:hAnsi="Times New Roman" w:cs="Times New Roman"/>
          <w:kern w:val="0"/>
          <w:szCs w:val="24"/>
        </w:rPr>
        <w:t xml:space="preserve"> venue </w:t>
      </w:r>
      <w:r w:rsidRPr="00885A57">
        <w:rPr>
          <w:rFonts w:ascii="Times New Roman" w:eastAsia="標楷體" w:hAnsi="Times New Roman" w:cs="Times New Roman"/>
          <w:kern w:val="0"/>
          <w:szCs w:val="24"/>
          <w:shd w:val="clear" w:color="auto" w:fill="FFFFFF" w:themeFill="background1"/>
        </w:rPr>
        <w:t>by</w:t>
      </w:r>
      <w:r w:rsidRPr="00885A57">
        <w:rPr>
          <w:rFonts w:ascii="Times New Roman" w:eastAsia="標楷體" w:hAnsi="Times New Roman" w:cs="Times New Roman"/>
          <w:kern w:val="0"/>
          <w:szCs w:val="24"/>
        </w:rPr>
        <w:t xml:space="preserve"> name, description, available facilities and accessible facilities, contact information, and transportation options.</w:t>
      </w:r>
      <w:bookmarkEnd w:id="187"/>
      <w:r w:rsidRPr="00885A57">
        <w:rPr>
          <w:rStyle w:val="ab"/>
          <w:rFonts w:ascii="Times New Roman" w:eastAsia="標楷體" w:hAnsi="Times New Roman" w:cs="Times New Roman"/>
        </w:rPr>
        <w:footnoteReference w:id="125"/>
      </w:r>
    </w:p>
    <w:p w14:paraId="4FA74A58" w14:textId="52A57543" w:rsidR="001C24FF" w:rsidRPr="00885A57" w:rsidRDefault="00D12AA4"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Since 1988, the MOI has mandated the establishment of accessible facilities in international tourist hotels per the </w:t>
      </w:r>
      <w:r w:rsidRPr="002153DE">
        <w:rPr>
          <w:rFonts w:ascii="Times New Roman" w:eastAsia="標楷體" w:hAnsi="Times New Roman" w:cs="Times New Roman"/>
          <w:iCs/>
          <w:szCs w:val="24"/>
        </w:rPr>
        <w:t>Building Technical Regulations</w:t>
      </w:r>
      <w:r w:rsidRPr="00885A57">
        <w:rPr>
          <w:rFonts w:ascii="Times New Roman" w:eastAsia="標楷體" w:hAnsi="Times New Roman" w:cs="Times New Roman"/>
          <w:szCs w:val="24"/>
        </w:rPr>
        <w:t xml:space="preserve">. The Ministry later expanded the regulations to </w:t>
      </w:r>
      <w:r w:rsidR="00233BE3">
        <w:rPr>
          <w:rFonts w:ascii="Times New Roman" w:eastAsia="標楷體" w:hAnsi="Times New Roman" w:cs="Times New Roman"/>
          <w:szCs w:val="24"/>
        </w:rPr>
        <w:t xml:space="preserve">include </w:t>
      </w:r>
      <w:r w:rsidRPr="00885A57">
        <w:rPr>
          <w:rFonts w:ascii="Times New Roman" w:eastAsia="標楷體" w:hAnsi="Times New Roman" w:cs="Times New Roman"/>
          <w:szCs w:val="24"/>
        </w:rPr>
        <w:t xml:space="preserve">tourist hotels and </w:t>
      </w:r>
      <w:r w:rsidR="00233BE3">
        <w:rPr>
          <w:rFonts w:ascii="Times New Roman" w:eastAsia="標楷體" w:hAnsi="Times New Roman" w:cs="Times New Roman"/>
          <w:szCs w:val="24"/>
        </w:rPr>
        <w:t xml:space="preserve">other </w:t>
      </w:r>
      <w:r w:rsidRPr="00885A57">
        <w:rPr>
          <w:rFonts w:ascii="Times New Roman" w:eastAsia="標楷體" w:hAnsi="Times New Roman" w:cs="Times New Roman"/>
          <w:szCs w:val="24"/>
        </w:rPr>
        <w:t xml:space="preserve">hotels in 2009 and 2013, respectively. In 2019, the </w:t>
      </w:r>
      <w:r w:rsidRPr="002153DE">
        <w:rPr>
          <w:rFonts w:ascii="Times New Roman" w:eastAsia="標楷體" w:hAnsi="Times New Roman" w:cs="Times New Roman"/>
          <w:szCs w:val="24"/>
        </w:rPr>
        <w:t>Design Specifications for Accessible and Usable Buildings and Facilities</w:t>
      </w:r>
      <w:r w:rsidRPr="00885A57">
        <w:rPr>
          <w:rFonts w:ascii="Times New Roman" w:eastAsia="標楷體" w:hAnsi="Times New Roman" w:cs="Times New Roman"/>
          <w:szCs w:val="24"/>
        </w:rPr>
        <w:t xml:space="preserve"> were amended and promulgated, adding specifications for facilities at amusement parks and related enterprises to </w:t>
      </w:r>
      <w:r w:rsidR="00233BE3">
        <w:rPr>
          <w:rFonts w:ascii="Times New Roman" w:eastAsia="標楷體" w:hAnsi="Times New Roman" w:cs="Times New Roman"/>
          <w:szCs w:val="24"/>
        </w:rPr>
        <w:t xml:space="preserve">improve </w:t>
      </w:r>
      <w:r w:rsidRPr="00885A57">
        <w:rPr>
          <w:rFonts w:ascii="Times New Roman" w:eastAsia="標楷體" w:hAnsi="Times New Roman" w:cs="Times New Roman"/>
          <w:szCs w:val="24"/>
        </w:rPr>
        <w:t xml:space="preserve">accessibility </w:t>
      </w:r>
      <w:r w:rsidR="00233BE3">
        <w:rPr>
          <w:rFonts w:ascii="Times New Roman" w:eastAsia="標楷體" w:hAnsi="Times New Roman" w:cs="Times New Roman"/>
          <w:szCs w:val="24"/>
        </w:rPr>
        <w:t xml:space="preserve">for </w:t>
      </w:r>
      <w:r w:rsidRPr="00885A57">
        <w:rPr>
          <w:rFonts w:ascii="Times New Roman" w:eastAsia="標楷體" w:hAnsi="Times New Roman" w:cs="Times New Roman"/>
          <w:szCs w:val="24"/>
        </w:rPr>
        <w:t xml:space="preserve">people with disabilities. In 2019, the MOTC amended and promulgated the </w:t>
      </w:r>
      <w:r w:rsidR="00BD435E" w:rsidRPr="00885A57">
        <w:rPr>
          <w:rFonts w:ascii="Times New Roman" w:eastAsia="標楷體" w:hAnsi="Times New Roman" w:cs="Times New Roman"/>
          <w:szCs w:val="24"/>
        </w:rPr>
        <w:t xml:space="preserve">MOTC </w:t>
      </w:r>
      <w:r w:rsidRPr="00885A57">
        <w:rPr>
          <w:rFonts w:ascii="Times New Roman" w:eastAsia="標楷體" w:hAnsi="Times New Roman" w:cs="Times New Roman"/>
          <w:szCs w:val="24"/>
        </w:rPr>
        <w:t xml:space="preserve">Tourism Bureau </w:t>
      </w:r>
      <w:r w:rsidRPr="002153DE">
        <w:rPr>
          <w:rFonts w:ascii="Times New Roman" w:eastAsia="標楷體" w:hAnsi="Times New Roman" w:cs="Times New Roman"/>
          <w:iCs/>
          <w:szCs w:val="24"/>
        </w:rPr>
        <w:t>Directions for Subsidizing Tourism Businesses for Quality Enhancement</w:t>
      </w:r>
      <w:r w:rsidRPr="00885A57">
        <w:rPr>
          <w:rFonts w:ascii="Times New Roman" w:eastAsia="標楷體" w:hAnsi="Times New Roman" w:cs="Times New Roman"/>
          <w:szCs w:val="24"/>
        </w:rPr>
        <w:t xml:space="preserve">. This program provides subsidies to tourist and </w:t>
      </w:r>
      <w:r w:rsidR="00F57892">
        <w:rPr>
          <w:rFonts w:ascii="Times New Roman" w:eastAsia="標楷體" w:hAnsi="Times New Roman" w:cs="Times New Roman"/>
          <w:szCs w:val="24"/>
        </w:rPr>
        <w:t>other</w:t>
      </w:r>
      <w:r w:rsidR="00F57892"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hotels to help them design and construct </w:t>
      </w:r>
      <w:r w:rsidR="00F57892">
        <w:rPr>
          <w:rFonts w:ascii="Times New Roman" w:eastAsia="標楷體" w:hAnsi="Times New Roman" w:cs="Times New Roman"/>
          <w:szCs w:val="24"/>
        </w:rPr>
        <w:t>accessible rooms</w:t>
      </w:r>
      <w:r w:rsidRPr="00885A57">
        <w:rPr>
          <w:rFonts w:ascii="Times New Roman" w:eastAsia="標楷體" w:hAnsi="Times New Roman" w:cs="Times New Roman"/>
          <w:szCs w:val="24"/>
        </w:rPr>
        <w:t xml:space="preserve">. As of March 2020, the number of registered accessible lodgings (including those with </w:t>
      </w:r>
      <w:r w:rsidR="000E78BD">
        <w:rPr>
          <w:rFonts w:ascii="Times New Roman" w:eastAsia="標楷體" w:hAnsi="Times New Roman" w:cs="Times New Roman"/>
          <w:szCs w:val="24"/>
        </w:rPr>
        <w:lastRenderedPageBreak/>
        <w:t>disabled-friendly</w:t>
      </w:r>
      <w:r w:rsidRPr="00885A57">
        <w:rPr>
          <w:rFonts w:ascii="Times New Roman" w:eastAsia="標楷體" w:hAnsi="Times New Roman" w:cs="Times New Roman"/>
          <w:szCs w:val="24"/>
        </w:rPr>
        <w:t xml:space="preserve"> facilities) was 1,218 (including tourist hotels, </w:t>
      </w:r>
      <w:r w:rsidR="00F57892">
        <w:rPr>
          <w:rFonts w:ascii="Times New Roman" w:eastAsia="標楷體" w:hAnsi="Times New Roman" w:cs="Times New Roman"/>
          <w:szCs w:val="24"/>
        </w:rPr>
        <w:t xml:space="preserve">other </w:t>
      </w:r>
      <w:r w:rsidRPr="00885A57">
        <w:rPr>
          <w:rFonts w:ascii="Times New Roman" w:eastAsia="標楷體" w:hAnsi="Times New Roman" w:cs="Times New Roman"/>
          <w:szCs w:val="24"/>
        </w:rPr>
        <w:t>hotels, and B&amp;Bs).</w:t>
      </w:r>
    </w:p>
    <w:p w14:paraId="14EC1F1D" w14:textId="11A6C6EB" w:rsidR="00F5248C" w:rsidRPr="00885A57" w:rsidRDefault="00D12AA4"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The design of accessible spaces at monuments and historic buildings should balance the preservation of the monuments and historic buildings and cultural equality. For the convenience of people with disabilities when visiting a monument or a historic building, the MOC has initiated two projects: the Investigation on and Feasibility Evaluation of Accessible Facility Construction in Monuments and Historic Buildings</w:t>
      </w:r>
      <w:r w:rsidR="00F57892">
        <w:rPr>
          <w:rFonts w:ascii="Times New Roman" w:eastAsia="標楷體" w:hAnsi="Times New Roman" w:cs="Times New Roman"/>
          <w:szCs w:val="24"/>
        </w:rPr>
        <w:t>,</w:t>
      </w:r>
      <w:r w:rsidRPr="00885A57">
        <w:rPr>
          <w:rFonts w:ascii="Times New Roman" w:eastAsia="標楷體" w:hAnsi="Times New Roman" w:cs="Times New Roman"/>
          <w:szCs w:val="24"/>
        </w:rPr>
        <w:t xml:space="preserve"> and </w:t>
      </w:r>
      <w:r w:rsidR="00F57892">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Investigation on and Evaluation of the Accessibility </w:t>
      </w:r>
      <w:r w:rsidR="00F57892">
        <w:rPr>
          <w:rFonts w:ascii="Times New Roman" w:eastAsia="標楷體" w:hAnsi="Times New Roman" w:cs="Times New Roman"/>
          <w:szCs w:val="24"/>
        </w:rPr>
        <w:t xml:space="preserve">of </w:t>
      </w:r>
      <w:r w:rsidRPr="00885A57">
        <w:rPr>
          <w:rFonts w:ascii="Times New Roman" w:eastAsia="標楷體" w:hAnsi="Times New Roman" w:cs="Times New Roman"/>
          <w:szCs w:val="24"/>
        </w:rPr>
        <w:t>National Monuments for the reference of local governments. The ministry assist</w:t>
      </w:r>
      <w:r w:rsidR="00F57892">
        <w:rPr>
          <w:rFonts w:ascii="Times New Roman" w:eastAsia="標楷體" w:hAnsi="Times New Roman" w:cs="Times New Roman"/>
          <w:szCs w:val="24"/>
        </w:rPr>
        <w:t>s</w:t>
      </w:r>
      <w:r w:rsidRPr="00885A57">
        <w:rPr>
          <w:rFonts w:ascii="Times New Roman" w:eastAsia="標楷體" w:hAnsi="Times New Roman" w:cs="Times New Roman"/>
          <w:szCs w:val="24"/>
        </w:rPr>
        <w:t xml:space="preserve"> local governments </w:t>
      </w:r>
      <w:r w:rsidR="00F57892">
        <w:rPr>
          <w:rFonts w:ascii="Times New Roman" w:eastAsia="標楷體" w:hAnsi="Times New Roman" w:cs="Times New Roman"/>
          <w:szCs w:val="24"/>
        </w:rPr>
        <w:t>with</w:t>
      </w:r>
      <w:r w:rsidR="004B3BAB">
        <w:rPr>
          <w:rFonts w:ascii="Times New Roman" w:eastAsia="標楷體" w:hAnsi="Times New Roman" w:cs="Times New Roman"/>
          <w:szCs w:val="24"/>
        </w:rPr>
        <w:t xml:space="preserve"> </w:t>
      </w:r>
      <w:r w:rsidR="00F57892">
        <w:rPr>
          <w:rFonts w:ascii="Times New Roman" w:eastAsia="標楷體" w:hAnsi="Times New Roman" w:cs="Times New Roman"/>
          <w:szCs w:val="24"/>
        </w:rPr>
        <w:t xml:space="preserve">adding </w:t>
      </w:r>
      <w:r w:rsidRPr="00885A57">
        <w:rPr>
          <w:rFonts w:ascii="Times New Roman" w:eastAsia="標楷體" w:hAnsi="Times New Roman" w:cs="Times New Roman"/>
          <w:szCs w:val="24"/>
        </w:rPr>
        <w:t xml:space="preserve">accessible equipment and facilities during the restoration, revitalization, </w:t>
      </w:r>
      <w:r w:rsidR="00F57892">
        <w:rPr>
          <w:rFonts w:ascii="Times New Roman" w:eastAsia="標楷體" w:hAnsi="Times New Roman" w:cs="Times New Roman"/>
          <w:szCs w:val="24"/>
        </w:rPr>
        <w:t xml:space="preserve">or repurposing </w:t>
      </w:r>
      <w:r w:rsidRPr="00885A57">
        <w:rPr>
          <w:rFonts w:ascii="Times New Roman" w:eastAsia="標楷體" w:hAnsi="Times New Roman" w:cs="Times New Roman"/>
          <w:szCs w:val="24"/>
        </w:rPr>
        <w:t>of monuments, historic buildings, commemorative buildings, and groups of buildings</w:t>
      </w:r>
      <w:r w:rsidR="004B3BAB">
        <w:rPr>
          <w:rFonts w:ascii="Times New Roman" w:eastAsia="標楷體" w:hAnsi="Times New Roman" w:cs="Times New Roman"/>
          <w:szCs w:val="24"/>
        </w:rPr>
        <w:t xml:space="preserve"> while respecting cultural heritage</w:t>
      </w:r>
      <w:r w:rsidRPr="00885A57">
        <w:rPr>
          <w:rFonts w:ascii="Times New Roman" w:eastAsia="標楷體" w:hAnsi="Times New Roman" w:cs="Times New Roman"/>
          <w:szCs w:val="24"/>
        </w:rPr>
        <w:t>.</w:t>
      </w:r>
    </w:p>
    <w:p w14:paraId="59C6B254" w14:textId="055EC8D5" w:rsidR="00FE5966" w:rsidRPr="00885A57" w:rsidRDefault="00D12AA4"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The Regular Meeting of Cultural Rights Promotion has been held since 2016 and to </w:t>
      </w:r>
      <w:r w:rsidR="004B3BAB">
        <w:rPr>
          <w:rFonts w:ascii="Times New Roman" w:eastAsia="標楷體" w:hAnsi="Times New Roman" w:cs="Times New Roman"/>
          <w:szCs w:val="24"/>
        </w:rPr>
        <w:t xml:space="preserve">address </w:t>
      </w:r>
      <w:r w:rsidRPr="00885A57">
        <w:rPr>
          <w:rFonts w:ascii="Times New Roman" w:eastAsia="標楷體" w:hAnsi="Times New Roman" w:cs="Times New Roman"/>
          <w:szCs w:val="24"/>
        </w:rPr>
        <w:t>cultural rights policies, integrate and promote the development of cultural right</w:t>
      </w:r>
      <w:r w:rsidR="00F57892">
        <w:rPr>
          <w:rFonts w:ascii="Times New Roman" w:eastAsia="標楷體" w:hAnsi="Times New Roman" w:cs="Times New Roman"/>
          <w:szCs w:val="24"/>
        </w:rPr>
        <w:t>s</w:t>
      </w:r>
      <w:r w:rsidRPr="00885A57">
        <w:rPr>
          <w:rFonts w:ascii="Times New Roman" w:eastAsia="標楷體" w:hAnsi="Times New Roman" w:cs="Times New Roman"/>
          <w:szCs w:val="24"/>
        </w:rPr>
        <w:t xml:space="preserve"> resources, encourage the private sector to engage in cultural rights policies and affairs, and ensure public rights to cultural participation and cultural accessibility, thereby ensuring equality between all citizens regardless of their identity, age, gender, region, ethnicity, or disability. Between 2017 and 2019, Taiwan implemented cultural accessibility programs for </w:t>
      </w:r>
      <w:r w:rsidR="00F57892">
        <w:rPr>
          <w:rFonts w:ascii="Times New Roman" w:eastAsia="標楷體" w:hAnsi="Times New Roman" w:cs="Times New Roman"/>
          <w:szCs w:val="24"/>
        </w:rPr>
        <w:t xml:space="preserve">seniors </w:t>
      </w:r>
      <w:r w:rsidRPr="00885A57">
        <w:rPr>
          <w:rFonts w:ascii="Times New Roman" w:eastAsia="標楷體" w:hAnsi="Times New Roman" w:cs="Times New Roman"/>
          <w:szCs w:val="24"/>
        </w:rPr>
        <w:t>and people with disabilities, thereby reducing</w:t>
      </w:r>
      <w:r w:rsidR="00F57892">
        <w:rPr>
          <w:rFonts w:ascii="Times New Roman" w:eastAsia="標楷體" w:hAnsi="Times New Roman" w:cs="Times New Roman"/>
          <w:szCs w:val="24"/>
        </w:rPr>
        <w:t xml:space="preserve"> the</w:t>
      </w:r>
      <w:r w:rsidRPr="00885A57">
        <w:rPr>
          <w:rFonts w:ascii="Times New Roman" w:eastAsia="標楷體" w:hAnsi="Times New Roman" w:cs="Times New Roman"/>
          <w:szCs w:val="24"/>
        </w:rPr>
        <w:t xml:space="preserve"> limitations on </w:t>
      </w:r>
      <w:r w:rsidR="00F57892">
        <w:rPr>
          <w:rFonts w:ascii="Times New Roman" w:eastAsia="標楷體" w:hAnsi="Times New Roman" w:cs="Times New Roman"/>
          <w:szCs w:val="24"/>
        </w:rPr>
        <w:t xml:space="preserve">their participation in </w:t>
      </w:r>
      <w:r w:rsidRPr="00885A57">
        <w:rPr>
          <w:rFonts w:ascii="Times New Roman" w:eastAsia="標楷體" w:hAnsi="Times New Roman" w:cs="Times New Roman"/>
          <w:szCs w:val="24"/>
        </w:rPr>
        <w:t>cultural event</w:t>
      </w:r>
      <w:r w:rsidR="00F57892">
        <w:rPr>
          <w:rFonts w:ascii="Times New Roman" w:eastAsia="標楷體" w:hAnsi="Times New Roman" w:cs="Times New Roman"/>
          <w:szCs w:val="24"/>
        </w:rPr>
        <w:t>s</w:t>
      </w:r>
      <w:r w:rsidRPr="00885A57">
        <w:rPr>
          <w:rFonts w:ascii="Times New Roman" w:eastAsia="標楷體" w:hAnsi="Times New Roman" w:cs="Times New Roman"/>
          <w:szCs w:val="24"/>
        </w:rPr>
        <w:t>.</w:t>
      </w:r>
    </w:p>
    <w:p w14:paraId="36B42CA3" w14:textId="46CA05B5" w:rsidR="00FE5966" w:rsidRPr="00885A57" w:rsidRDefault="00D12AA4" w:rsidP="001A2139">
      <w:pPr>
        <w:spacing w:after="120" w:line="360" w:lineRule="auto"/>
        <w:jc w:val="both"/>
        <w:rPr>
          <w:rFonts w:ascii="Times New Roman" w:eastAsia="標楷體" w:hAnsi="Times New Roman" w:cs="Times New Roman"/>
          <w:szCs w:val="24"/>
        </w:rPr>
      </w:pPr>
      <w:r w:rsidRPr="00885A57">
        <w:rPr>
          <w:rFonts w:ascii="Times New Roman" w:eastAsia="標楷體" w:hAnsi="Times New Roman" w:cs="Times New Roman"/>
          <w:szCs w:val="24"/>
        </w:rPr>
        <w:t>B.  Outcomes</w:t>
      </w:r>
    </w:p>
    <w:p w14:paraId="4CB45AA5" w14:textId="4764AA19" w:rsidR="00F5248C" w:rsidRPr="00885A57" w:rsidRDefault="003102EA"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88" w:name="_Ref55917517"/>
      <w:r w:rsidRPr="00885A57">
        <w:rPr>
          <w:rFonts w:ascii="Times New Roman" w:eastAsia="標楷體" w:hAnsi="Times New Roman" w:cs="Times New Roman"/>
          <w:szCs w:val="24"/>
        </w:rPr>
        <w:lastRenderedPageBreak/>
        <w:t xml:space="preserve">MOE-affiliated social education </w:t>
      </w:r>
      <w:r w:rsidR="002F273E">
        <w:rPr>
          <w:rFonts w:ascii="Times New Roman" w:eastAsia="標楷體" w:hAnsi="Times New Roman" w:cs="Times New Roman"/>
          <w:szCs w:val="24"/>
        </w:rPr>
        <w:t>institutions</w:t>
      </w:r>
      <w:r w:rsidRPr="00885A57">
        <w:rPr>
          <w:rFonts w:ascii="Times New Roman" w:eastAsia="標楷體" w:hAnsi="Times New Roman" w:cs="Times New Roman"/>
          <w:szCs w:val="24"/>
        </w:rPr>
        <w:t xml:space="preserve"> offer discount admission tickets for people with disabilities; museums </w:t>
      </w:r>
      <w:r w:rsidR="00F57892">
        <w:rPr>
          <w:rFonts w:ascii="Times New Roman" w:eastAsia="標楷體" w:hAnsi="Times New Roman" w:cs="Times New Roman"/>
          <w:szCs w:val="24"/>
        </w:rPr>
        <w:t xml:space="preserve">annually </w:t>
      </w:r>
      <w:r w:rsidRPr="00885A57">
        <w:rPr>
          <w:rFonts w:ascii="Times New Roman" w:eastAsia="標楷體" w:hAnsi="Times New Roman" w:cs="Times New Roman"/>
          <w:szCs w:val="24"/>
        </w:rPr>
        <w:t xml:space="preserve">host activities </w:t>
      </w:r>
      <w:r w:rsidR="00F57892">
        <w:rPr>
          <w:rFonts w:ascii="Times New Roman" w:eastAsia="標楷體" w:hAnsi="Times New Roman" w:cs="Times New Roman"/>
          <w:szCs w:val="24"/>
        </w:rPr>
        <w:t xml:space="preserve">on issues </w:t>
      </w:r>
      <w:r w:rsidRPr="00885A57">
        <w:rPr>
          <w:rFonts w:ascii="Times New Roman" w:eastAsia="標楷體" w:hAnsi="Times New Roman" w:cs="Times New Roman"/>
          <w:szCs w:val="24"/>
        </w:rPr>
        <w:t>related to people with disabilities</w:t>
      </w:r>
      <w:r w:rsidR="00F57892">
        <w:rPr>
          <w:rFonts w:ascii="Times New Roman" w:eastAsia="標楷體" w:hAnsi="Times New Roman" w:cs="Times New Roman"/>
          <w:szCs w:val="24"/>
        </w:rPr>
        <w:t>,</w:t>
      </w:r>
      <w:r w:rsidRPr="00885A57">
        <w:rPr>
          <w:rFonts w:ascii="Times New Roman" w:eastAsia="標楷體" w:hAnsi="Times New Roman" w:cs="Times New Roman"/>
          <w:szCs w:val="24"/>
        </w:rPr>
        <w:t xml:space="preserve"> including tours, exhibitions, lectures, and workshops. Libraries have </w:t>
      </w:r>
      <w:r w:rsidR="00F57892">
        <w:rPr>
          <w:rFonts w:ascii="Times New Roman" w:eastAsia="標楷體" w:hAnsi="Times New Roman" w:cs="Times New Roman"/>
          <w:szCs w:val="24"/>
        </w:rPr>
        <w:t xml:space="preserve">created </w:t>
      </w:r>
      <w:r w:rsidRPr="00885A57">
        <w:rPr>
          <w:rFonts w:ascii="Times New Roman" w:eastAsia="標楷體" w:hAnsi="Times New Roman" w:cs="Times New Roman"/>
          <w:szCs w:val="24"/>
        </w:rPr>
        <w:t xml:space="preserve">designated areas for people with disabilities, digital teaching materials, and various publications. National Taiwan Library </w:t>
      </w:r>
      <w:r w:rsidR="00F57892">
        <w:rPr>
          <w:rFonts w:ascii="Times New Roman" w:eastAsia="標楷體" w:hAnsi="Times New Roman" w:cs="Times New Roman"/>
          <w:szCs w:val="24"/>
        </w:rPr>
        <w:t xml:space="preserve">has been appointed </w:t>
      </w:r>
      <w:r w:rsidRPr="00885A57">
        <w:rPr>
          <w:rFonts w:ascii="Times New Roman" w:eastAsia="標楷體" w:hAnsi="Times New Roman" w:cs="Times New Roman"/>
          <w:szCs w:val="24"/>
        </w:rPr>
        <w:t xml:space="preserve">the competent library </w:t>
      </w:r>
      <w:r w:rsidR="00F57892">
        <w:rPr>
          <w:rFonts w:ascii="Times New Roman" w:eastAsia="標楷體" w:hAnsi="Times New Roman" w:cs="Times New Roman"/>
          <w:szCs w:val="24"/>
        </w:rPr>
        <w:t xml:space="preserve">for </w:t>
      </w:r>
      <w:r w:rsidRPr="00885A57">
        <w:rPr>
          <w:rFonts w:ascii="Times New Roman" w:eastAsia="標楷體" w:hAnsi="Times New Roman" w:cs="Times New Roman"/>
          <w:szCs w:val="24"/>
        </w:rPr>
        <w:t>people with disabilities. The library has proceeded to expand accessible platform services and develop staff</w:t>
      </w:r>
      <w:r w:rsidR="00F57892">
        <w:rPr>
          <w:rFonts w:ascii="Times New Roman" w:eastAsia="標楷體" w:hAnsi="Times New Roman" w:cs="Times New Roman"/>
          <w:szCs w:val="24"/>
        </w:rPr>
        <w:t xml:space="preserve"> members’</w:t>
      </w:r>
      <w:r w:rsidRPr="00885A57">
        <w:rPr>
          <w:rFonts w:ascii="Times New Roman" w:eastAsia="標楷體" w:hAnsi="Times New Roman" w:cs="Times New Roman"/>
          <w:szCs w:val="24"/>
        </w:rPr>
        <w:t xml:space="preserve"> service literacy </w:t>
      </w:r>
      <w:r w:rsidR="00F57892">
        <w:rPr>
          <w:rFonts w:ascii="Times New Roman" w:eastAsia="標楷體" w:hAnsi="Times New Roman" w:cs="Times New Roman"/>
          <w:szCs w:val="24"/>
        </w:rPr>
        <w:t xml:space="preserve">to assist these </w:t>
      </w:r>
      <w:r w:rsidR="00FE1103" w:rsidRPr="00885A57">
        <w:rPr>
          <w:rFonts w:ascii="Times New Roman" w:eastAsia="標楷體" w:hAnsi="Times New Roman" w:cs="Times New Roman"/>
          <w:szCs w:val="24"/>
        </w:rPr>
        <w:t>people,</w:t>
      </w:r>
      <w:r w:rsidRPr="00885A57">
        <w:rPr>
          <w:rFonts w:ascii="Times New Roman" w:eastAsia="標楷體" w:hAnsi="Times New Roman" w:cs="Times New Roman"/>
          <w:szCs w:val="24"/>
        </w:rPr>
        <w:t xml:space="preserve"> thereby more effectively satisfying </w:t>
      </w:r>
      <w:r w:rsidR="00F57892">
        <w:rPr>
          <w:rFonts w:ascii="Times New Roman" w:eastAsia="標楷體" w:hAnsi="Times New Roman" w:cs="Times New Roman"/>
          <w:szCs w:val="24"/>
        </w:rPr>
        <w:t xml:space="preserve">their </w:t>
      </w:r>
      <w:r w:rsidRPr="00885A57">
        <w:rPr>
          <w:rFonts w:ascii="Times New Roman" w:eastAsia="標楷體" w:hAnsi="Times New Roman" w:cs="Times New Roman"/>
          <w:szCs w:val="24"/>
        </w:rPr>
        <w:t xml:space="preserve">learning needs. Digital publishers funded by the government </w:t>
      </w:r>
      <w:r w:rsidR="00F57892">
        <w:rPr>
          <w:rFonts w:ascii="Times New Roman" w:eastAsia="標楷體" w:hAnsi="Times New Roman" w:cs="Times New Roman"/>
          <w:szCs w:val="24"/>
        </w:rPr>
        <w:t xml:space="preserve">are to </w:t>
      </w:r>
      <w:r w:rsidRPr="00885A57">
        <w:rPr>
          <w:rFonts w:ascii="Times New Roman" w:eastAsia="標楷體" w:hAnsi="Times New Roman" w:cs="Times New Roman"/>
          <w:szCs w:val="24"/>
        </w:rPr>
        <w:t>offer free publications to the National Taiwan Library. In 2018 and 2019, the library received 568 and 500 digital publications for free.</w:t>
      </w:r>
      <w:bookmarkEnd w:id="188"/>
      <w:r w:rsidRPr="00885A57">
        <w:rPr>
          <w:rStyle w:val="ab"/>
          <w:rFonts w:ascii="Times New Roman" w:eastAsia="標楷體" w:hAnsi="Times New Roman" w:cs="Times New Roman"/>
        </w:rPr>
        <w:footnoteReference w:id="126"/>
      </w:r>
    </w:p>
    <w:p w14:paraId="1225B607" w14:textId="6E22C74D" w:rsidR="008B396E" w:rsidRPr="00885A57" w:rsidRDefault="003102EA" w:rsidP="0052448C">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reduce participation constraints </w:t>
      </w:r>
      <w:r w:rsidR="00F57892">
        <w:rPr>
          <w:rFonts w:ascii="Times New Roman" w:eastAsia="標楷體" w:hAnsi="Times New Roman" w:cs="Times New Roman"/>
          <w:szCs w:val="24"/>
        </w:rPr>
        <w:t xml:space="preserve">at </w:t>
      </w:r>
      <w:r w:rsidRPr="00885A57">
        <w:rPr>
          <w:rFonts w:ascii="Times New Roman" w:eastAsia="標楷體" w:hAnsi="Times New Roman" w:cs="Times New Roman"/>
          <w:szCs w:val="24"/>
        </w:rPr>
        <w:t xml:space="preserve">domestic cultural institutions and facilities, the MOC implemented the </w:t>
      </w:r>
      <w:r w:rsidRPr="00885A57">
        <w:rPr>
          <w:rFonts w:ascii="Times New Roman" w:hAnsi="Times New Roman" w:cs="Times New Roman"/>
          <w:szCs w:val="24"/>
          <w:shd w:val="clear" w:color="auto" w:fill="FFFFFF"/>
        </w:rPr>
        <w:t xml:space="preserve">Museum and Local Cultural House Project </w:t>
      </w:r>
      <w:r w:rsidRPr="00885A57">
        <w:rPr>
          <w:rFonts w:ascii="Times New Roman" w:eastAsia="標楷體" w:hAnsi="Times New Roman" w:cs="Times New Roman"/>
          <w:szCs w:val="24"/>
          <w:shd w:val="clear" w:color="auto" w:fill="FFFFFF"/>
        </w:rPr>
        <w:t xml:space="preserve">and Upgrade Promotion Project of Professional Art Venues to subsidize 42 exhibition facilities to improve accessible spaces and </w:t>
      </w:r>
      <w:r w:rsidR="000E78BD">
        <w:rPr>
          <w:rFonts w:ascii="Times New Roman" w:eastAsia="標楷體" w:hAnsi="Times New Roman" w:cs="Times New Roman"/>
          <w:szCs w:val="24"/>
          <w:shd w:val="clear" w:color="auto" w:fill="FFFFFF"/>
        </w:rPr>
        <w:t>disabled-friendly</w:t>
      </w:r>
      <w:r w:rsidRPr="00885A57">
        <w:rPr>
          <w:rFonts w:ascii="Times New Roman" w:eastAsia="標楷體" w:hAnsi="Times New Roman" w:cs="Times New Roman"/>
          <w:szCs w:val="24"/>
          <w:shd w:val="clear" w:color="auto" w:fill="FFFFFF"/>
        </w:rPr>
        <w:t xml:space="preserve"> services as well as </w:t>
      </w:r>
      <w:r w:rsidRPr="00885A57">
        <w:rPr>
          <w:rFonts w:ascii="Times New Roman" w:eastAsia="標楷體" w:hAnsi="Times New Roman" w:cs="Times New Roman"/>
          <w:szCs w:val="24"/>
        </w:rPr>
        <w:t xml:space="preserve">14 counties and cities </w:t>
      </w:r>
      <w:r w:rsidR="00F57892">
        <w:rPr>
          <w:rFonts w:ascii="Times New Roman" w:eastAsia="標楷體" w:hAnsi="Times New Roman" w:cs="Times New Roman"/>
          <w:szCs w:val="24"/>
        </w:rPr>
        <w:t xml:space="preserve">to renovate </w:t>
      </w:r>
      <w:r w:rsidRPr="00885A57">
        <w:rPr>
          <w:rFonts w:ascii="Times New Roman" w:eastAsia="標楷體" w:hAnsi="Times New Roman" w:cs="Times New Roman"/>
          <w:szCs w:val="24"/>
        </w:rPr>
        <w:t xml:space="preserve">auditorium seats. The MOC also launched the </w:t>
      </w:r>
      <w:r w:rsidRPr="00885A57">
        <w:rPr>
          <w:rFonts w:ascii="Times New Roman" w:hAnsi="Times New Roman" w:cs="Times New Roman"/>
          <w:szCs w:val="24"/>
          <w:shd w:val="clear" w:color="auto" w:fill="FFFFFF"/>
        </w:rPr>
        <w:t>Museum and Local Cultural House Promotion Project</w:t>
      </w:r>
      <w:r w:rsidRPr="00885A57">
        <w:rPr>
          <w:rFonts w:ascii="Times New Roman" w:eastAsia="標楷體" w:hAnsi="Times New Roman" w:cs="Times New Roman"/>
          <w:szCs w:val="24"/>
        </w:rPr>
        <w:t xml:space="preserve">, aiming to safeguard the cultural rights of people living in remote areas. The Checklist of </w:t>
      </w:r>
      <w:r w:rsidR="000E78BD">
        <w:rPr>
          <w:rFonts w:ascii="Times New Roman" w:eastAsia="標楷體" w:hAnsi="Times New Roman" w:cs="Times New Roman"/>
          <w:szCs w:val="24"/>
        </w:rPr>
        <w:t>Disabled-friendly</w:t>
      </w:r>
      <w:r w:rsidRPr="00885A57">
        <w:rPr>
          <w:rFonts w:ascii="Times New Roman" w:eastAsia="標楷體" w:hAnsi="Times New Roman" w:cs="Times New Roman"/>
          <w:szCs w:val="24"/>
        </w:rPr>
        <w:t xml:space="preserve"> Services and Equipment in Cultural Venu</w:t>
      </w:r>
      <w:r w:rsidRPr="00885A57">
        <w:rPr>
          <w:rFonts w:ascii="Times New Roman" w:eastAsia="標楷體" w:hAnsi="Times New Roman" w:cs="Times New Roman"/>
          <w:szCs w:val="24"/>
          <w:shd w:val="clear" w:color="auto" w:fill="FFFFFF"/>
        </w:rPr>
        <w:t>es is d</w:t>
      </w:r>
      <w:r w:rsidRPr="00885A57">
        <w:rPr>
          <w:rFonts w:ascii="Times New Roman" w:eastAsia="標楷體" w:hAnsi="Times New Roman" w:cs="Times New Roman"/>
          <w:szCs w:val="24"/>
        </w:rPr>
        <w:t xml:space="preserve">eveloped to enable venue organizers to conduct inspections </w:t>
      </w:r>
      <w:r w:rsidR="00F57892">
        <w:rPr>
          <w:rFonts w:ascii="Times New Roman" w:eastAsia="標楷體" w:hAnsi="Times New Roman" w:cs="Times New Roman"/>
          <w:szCs w:val="24"/>
        </w:rPr>
        <w:t xml:space="preserve">of </w:t>
      </w:r>
      <w:r w:rsidRPr="00885A57">
        <w:rPr>
          <w:rFonts w:ascii="Times New Roman" w:eastAsia="標楷體" w:hAnsi="Times New Roman" w:cs="Times New Roman"/>
          <w:szCs w:val="24"/>
        </w:rPr>
        <w:t xml:space="preserve">accessible equipment and services. The MOC has designated four venues as accessibility pilot venues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w:t>
      </w:r>
      <w:r w:rsidR="00F57892">
        <w:rPr>
          <w:rFonts w:ascii="Times New Roman" w:eastAsia="標楷體" w:hAnsi="Times New Roman" w:cs="Times New Roman"/>
          <w:szCs w:val="24"/>
        </w:rPr>
        <w:t xml:space="preserve">various </w:t>
      </w:r>
      <w:r w:rsidRPr="00885A57">
        <w:rPr>
          <w:rFonts w:ascii="Times New Roman" w:eastAsia="標楷體" w:hAnsi="Times New Roman" w:cs="Times New Roman"/>
          <w:szCs w:val="24"/>
        </w:rPr>
        <w:t xml:space="preserve">disabilities, aiming to promote similar services in other venues, establish </w:t>
      </w:r>
      <w:r w:rsidRPr="00885A57">
        <w:rPr>
          <w:rFonts w:ascii="Times New Roman" w:eastAsia="標楷體" w:hAnsi="Times New Roman" w:cs="Times New Roman"/>
          <w:szCs w:val="24"/>
        </w:rPr>
        <w:lastRenderedPageBreak/>
        <w:t xml:space="preserve">accessible cultural facilities and attractions, and improve the proficiency of </w:t>
      </w:r>
      <w:r w:rsidRPr="00885A57">
        <w:rPr>
          <w:rFonts w:ascii="Times New Roman" w:eastAsia="標楷體" w:hAnsi="Times New Roman" w:cs="Times New Roman"/>
          <w:szCs w:val="24"/>
          <w:shd w:val="clear" w:color="auto" w:fill="FFFFFF"/>
        </w:rPr>
        <w:t xml:space="preserve">front-line </w:t>
      </w:r>
      <w:r w:rsidRPr="00885A57">
        <w:rPr>
          <w:rFonts w:ascii="Times New Roman" w:eastAsia="標楷體" w:hAnsi="Times New Roman" w:cs="Times New Roman"/>
          <w:szCs w:val="24"/>
        </w:rPr>
        <w:t xml:space="preserve">service staff and volunteers in providing services </w:t>
      </w:r>
      <w:r w:rsidR="00F57892">
        <w:rPr>
          <w:rFonts w:ascii="Times New Roman" w:eastAsia="標楷體" w:hAnsi="Times New Roman" w:cs="Times New Roman"/>
          <w:szCs w:val="24"/>
        </w:rPr>
        <w:t>to</w:t>
      </w:r>
      <w:r w:rsidR="00F57892" w:rsidRPr="00885A57">
        <w:rPr>
          <w:rFonts w:ascii="Times New Roman" w:eastAsia="標楷體" w:hAnsi="Times New Roman" w:cs="Times New Roman"/>
          <w:szCs w:val="24"/>
        </w:rPr>
        <w:t xml:space="preserve">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w:t>
      </w:r>
    </w:p>
    <w:p w14:paraId="5DE1B0D1" w14:textId="7ED9F093" w:rsidR="00E73F29" w:rsidRPr="00885A57" w:rsidRDefault="003102EA"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w:t>
      </w:r>
      <w:r w:rsidR="00F57892">
        <w:rPr>
          <w:rFonts w:ascii="Times New Roman" w:eastAsia="標楷體" w:hAnsi="Times New Roman" w:cs="Times New Roman"/>
          <w:szCs w:val="24"/>
        </w:rPr>
        <w:t xml:space="preserve">improve </w:t>
      </w:r>
      <w:r w:rsidRPr="00885A57">
        <w:rPr>
          <w:rFonts w:ascii="Times New Roman" w:eastAsia="標楷體" w:hAnsi="Times New Roman" w:cs="Times New Roman"/>
          <w:szCs w:val="24"/>
        </w:rPr>
        <w:t xml:space="preserve">access to culture for people with disabilities, MOC-affiliated venues offer </w:t>
      </w:r>
      <w:r w:rsidR="00931A86">
        <w:rPr>
          <w:rFonts w:ascii="Times New Roman" w:eastAsia="標楷體" w:hAnsi="Times New Roman" w:cs="Times New Roman"/>
          <w:szCs w:val="24"/>
        </w:rPr>
        <w:t>easy-to-read</w:t>
      </w:r>
      <w:r w:rsidRPr="00885A57">
        <w:rPr>
          <w:rFonts w:ascii="Times New Roman" w:eastAsia="標楷體" w:hAnsi="Times New Roman" w:cs="Times New Roman"/>
          <w:szCs w:val="24"/>
        </w:rPr>
        <w:t xml:space="preserve"> brochures, such as the five </w:t>
      </w:r>
      <w:r w:rsidR="00931A86">
        <w:rPr>
          <w:rFonts w:ascii="Times New Roman" w:eastAsia="標楷體" w:hAnsi="Times New Roman" w:cs="Times New Roman"/>
          <w:szCs w:val="24"/>
        </w:rPr>
        <w:t>easy-to-read</w:t>
      </w:r>
      <w:r w:rsidRPr="00885A57">
        <w:rPr>
          <w:rFonts w:ascii="Times New Roman" w:eastAsia="標楷體" w:hAnsi="Times New Roman" w:cs="Times New Roman"/>
          <w:szCs w:val="24"/>
        </w:rPr>
        <w:t xml:space="preserve"> brochures relating to the digital collection The Ancient Coin and his Friends at the National Museum of History. The National Museum of Taiwan History also </w:t>
      </w:r>
      <w:r w:rsidR="00336CEF">
        <w:rPr>
          <w:rFonts w:ascii="Times New Roman" w:eastAsia="標楷體" w:hAnsi="Times New Roman" w:cs="Times New Roman"/>
          <w:szCs w:val="24"/>
        </w:rPr>
        <w:t>has</w:t>
      </w:r>
      <w:r w:rsidR="00336CEF"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1,500 copies of </w:t>
      </w:r>
      <w:r w:rsidR="00931A86">
        <w:rPr>
          <w:rFonts w:ascii="Times New Roman" w:eastAsia="標楷體" w:hAnsi="Times New Roman" w:cs="Times New Roman"/>
          <w:szCs w:val="24"/>
        </w:rPr>
        <w:t>easy-to-read</w:t>
      </w:r>
      <w:r w:rsidRPr="00885A57">
        <w:rPr>
          <w:rFonts w:ascii="Times New Roman" w:eastAsia="標楷體" w:hAnsi="Times New Roman" w:cs="Times New Roman"/>
          <w:szCs w:val="24"/>
        </w:rPr>
        <w:t xml:space="preserve"> editions of </w:t>
      </w:r>
      <w:r w:rsidR="00336CEF">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Introduction to the National Museum of Taiwan History, Religions and Gods in Taiwan, and Go to School: </w:t>
      </w:r>
      <w:r w:rsidR="00F73F38">
        <w:rPr>
          <w:rFonts w:ascii="Times New Roman" w:eastAsia="標楷體" w:hAnsi="Times New Roman" w:cs="Times New Roman"/>
          <w:szCs w:val="24"/>
        </w:rPr>
        <w:t xml:space="preserve">A </w:t>
      </w:r>
      <w:r w:rsidRPr="00885A57">
        <w:rPr>
          <w:rFonts w:ascii="Times New Roman" w:eastAsia="標楷體" w:hAnsi="Times New Roman" w:cs="Times New Roman"/>
          <w:szCs w:val="24"/>
        </w:rPr>
        <w:t>Special Exhibition of Modern Education in Taiwan. In 2018, the MOC fully supported multilingual guide services, whereby public services and interpreter training in various languages including Taiwan Sign Language were tailored for local circumstances, and multilingual guides at affiliated venues for permanent exhibitions have been gradually established.</w:t>
      </w:r>
    </w:p>
    <w:p w14:paraId="32BA2653" w14:textId="633EEC5D" w:rsidR="00F5248C" w:rsidRPr="00885A57" w:rsidRDefault="00336CEF"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Pr>
          <w:rFonts w:ascii="Times New Roman" w:eastAsia="標楷體" w:hAnsi="Times New Roman" w:cs="Times New Roman"/>
          <w:szCs w:val="24"/>
        </w:rPr>
        <w:t xml:space="preserve">Equipment ensuring accessibility of </w:t>
      </w:r>
      <w:r w:rsidR="005729CA" w:rsidRPr="00885A57">
        <w:rPr>
          <w:rFonts w:ascii="Times New Roman" w:eastAsia="標楷體" w:hAnsi="Times New Roman" w:cs="Times New Roman"/>
          <w:szCs w:val="24"/>
        </w:rPr>
        <w:t>movie theaters is designed according to the</w:t>
      </w:r>
      <w:r w:rsidR="005729CA" w:rsidRPr="002153DE">
        <w:rPr>
          <w:rFonts w:ascii="Times New Roman" w:eastAsia="標楷體" w:hAnsi="Times New Roman" w:cs="Times New Roman"/>
          <w:iCs/>
          <w:szCs w:val="24"/>
        </w:rPr>
        <w:t xml:space="preserve"> Design Specifications for Accessible Facilities</w:t>
      </w:r>
      <w:r w:rsidR="005729CA" w:rsidRPr="00885A57">
        <w:rPr>
          <w:rFonts w:ascii="Times New Roman" w:eastAsia="標楷體" w:hAnsi="Times New Roman" w:cs="Times New Roman"/>
          <w:szCs w:val="24"/>
        </w:rPr>
        <w:t xml:space="preserve"> and </w:t>
      </w:r>
      <w:r>
        <w:rPr>
          <w:rFonts w:ascii="Times New Roman" w:eastAsia="標楷體" w:hAnsi="Times New Roman" w:cs="Times New Roman"/>
          <w:szCs w:val="24"/>
        </w:rPr>
        <w:t xml:space="preserve">is </w:t>
      </w:r>
      <w:r w:rsidR="005729CA" w:rsidRPr="00885A57">
        <w:rPr>
          <w:rFonts w:ascii="Times New Roman" w:eastAsia="標楷體" w:hAnsi="Times New Roman" w:cs="Times New Roman"/>
          <w:szCs w:val="24"/>
        </w:rPr>
        <w:t xml:space="preserve">inspected by the competent local government. To encourage private movie theaters to provide accessible services, the MOC and local governments annually conduct inspections of 117 movie theaters in Taiwan. Any theaters that fail to meet the specifications and improve </w:t>
      </w:r>
      <w:r>
        <w:rPr>
          <w:rFonts w:ascii="Times New Roman" w:eastAsia="標楷體" w:hAnsi="Times New Roman" w:cs="Times New Roman"/>
          <w:szCs w:val="24"/>
        </w:rPr>
        <w:t xml:space="preserve">prior to a </w:t>
      </w:r>
      <w:r w:rsidR="005729CA" w:rsidRPr="00885A57">
        <w:rPr>
          <w:rFonts w:ascii="Times New Roman" w:eastAsia="標楷體" w:hAnsi="Times New Roman" w:cs="Times New Roman"/>
          <w:szCs w:val="24"/>
        </w:rPr>
        <w:t xml:space="preserve">specified deadline are punished by the local competent authority </w:t>
      </w:r>
      <w:r>
        <w:rPr>
          <w:rFonts w:ascii="Times New Roman" w:eastAsia="標楷體" w:hAnsi="Times New Roman" w:cs="Times New Roman"/>
          <w:szCs w:val="24"/>
        </w:rPr>
        <w:t xml:space="preserve">for </w:t>
      </w:r>
      <w:r w:rsidR="005729CA" w:rsidRPr="00885A57">
        <w:rPr>
          <w:rFonts w:ascii="Times New Roman" w:eastAsia="標楷體" w:hAnsi="Times New Roman" w:cs="Times New Roman"/>
          <w:szCs w:val="24"/>
        </w:rPr>
        <w:t>buildings. The</w:t>
      </w:r>
      <w:r>
        <w:rPr>
          <w:rFonts w:ascii="Times New Roman" w:eastAsia="標楷體" w:hAnsi="Times New Roman" w:cs="Times New Roman"/>
          <w:szCs w:val="24"/>
        </w:rPr>
        <w:t>se</w:t>
      </w:r>
      <w:r w:rsidR="005729CA" w:rsidRPr="00885A57">
        <w:rPr>
          <w:rFonts w:ascii="Times New Roman" w:eastAsia="標楷體" w:hAnsi="Times New Roman" w:cs="Times New Roman"/>
          <w:szCs w:val="24"/>
        </w:rPr>
        <w:t xml:space="preserve"> approaches help protect the interest</w:t>
      </w:r>
      <w:r>
        <w:rPr>
          <w:rFonts w:ascii="Times New Roman" w:eastAsia="標楷體" w:hAnsi="Times New Roman" w:cs="Times New Roman"/>
          <w:szCs w:val="24"/>
        </w:rPr>
        <w:t>s</w:t>
      </w:r>
      <w:r w:rsidR="005729CA" w:rsidRPr="00885A57">
        <w:rPr>
          <w:rFonts w:ascii="Times New Roman" w:eastAsia="標楷體" w:hAnsi="Times New Roman" w:cs="Times New Roman"/>
          <w:szCs w:val="24"/>
        </w:rPr>
        <w:t xml:space="preserve"> of </w:t>
      </w:r>
      <w:r w:rsidR="005729CA" w:rsidRPr="00885A57">
        <w:rPr>
          <w:rFonts w:ascii="Times New Roman" w:eastAsia="標楷體" w:hAnsi="Times New Roman" w:cs="Times New Roman"/>
          <w:kern w:val="0"/>
          <w:szCs w:val="24"/>
        </w:rPr>
        <w:t>people</w:t>
      </w:r>
      <w:r w:rsidR="005729CA" w:rsidRPr="00885A57">
        <w:rPr>
          <w:rFonts w:ascii="Times New Roman" w:eastAsia="標楷體" w:hAnsi="Times New Roman" w:cs="Times New Roman"/>
          <w:szCs w:val="24"/>
        </w:rPr>
        <w:t xml:space="preserve"> with disabilities to watch movies.</w:t>
      </w:r>
    </w:p>
    <w:p w14:paraId="517F50A9" w14:textId="7FFEA6D0" w:rsidR="00F5248C" w:rsidRPr="00885A57" w:rsidRDefault="005729CA"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To promote the participation of the elderly, young children, and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in forest recreation activities, the government continues to collaborate </w:t>
      </w:r>
      <w:r w:rsidRPr="00885A57">
        <w:rPr>
          <w:rFonts w:ascii="Times New Roman" w:eastAsia="標楷體" w:hAnsi="Times New Roman" w:cs="Times New Roman"/>
          <w:szCs w:val="24"/>
        </w:rPr>
        <w:lastRenderedPageBreak/>
        <w:t xml:space="preserve">with DPOs to develop a checklist of public facility accessibility </w:t>
      </w:r>
      <w:r w:rsidR="00336CEF">
        <w:rPr>
          <w:rFonts w:ascii="Times New Roman" w:eastAsia="標楷體" w:hAnsi="Times New Roman" w:cs="Times New Roman"/>
          <w:szCs w:val="24"/>
        </w:rPr>
        <w:t>at</w:t>
      </w:r>
      <w:r w:rsidR="00336CEF" w:rsidRPr="00885A57">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national forest recreation areas and complete inspections of the accessibility of facilities, traffic flow, and various services in each area. At present, the first floor spaces of visitor centers, accessible toilets, and car parks in each area have been renovated according to the </w:t>
      </w:r>
      <w:r w:rsidRPr="002153DE">
        <w:rPr>
          <w:rFonts w:ascii="Times New Roman" w:eastAsia="標楷體" w:hAnsi="Times New Roman" w:cs="Times New Roman"/>
          <w:iCs/>
          <w:szCs w:val="24"/>
        </w:rPr>
        <w:t>Design Specifications for Accessible Facilities</w:t>
      </w:r>
      <w:r w:rsidRPr="00885A57">
        <w:rPr>
          <w:rFonts w:ascii="Times New Roman" w:eastAsia="標楷體" w:hAnsi="Times New Roman" w:cs="Times New Roman"/>
          <w:szCs w:val="24"/>
        </w:rPr>
        <w:t>.</w:t>
      </w:r>
      <w:r w:rsidR="00F5248C" w:rsidRPr="00885A57">
        <w:rPr>
          <w:rFonts w:ascii="Times New Roman" w:eastAsia="標楷體" w:hAnsi="Times New Roman" w:cs="Times New Roman"/>
          <w:szCs w:val="28"/>
        </w:rPr>
        <w:t xml:space="preserve"> </w:t>
      </w:r>
    </w:p>
    <w:p w14:paraId="4C68E6D3" w14:textId="052141E4" w:rsidR="00F5248C" w:rsidRPr="00885A57" w:rsidRDefault="005729CA"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For the convenience of people with disabilities, older adults, people with baby strollers, and </w:t>
      </w:r>
      <w:r w:rsidR="00336CEF">
        <w:rPr>
          <w:rFonts w:ascii="Times New Roman" w:eastAsia="標楷體" w:hAnsi="Times New Roman" w:cs="Times New Roman"/>
          <w:szCs w:val="24"/>
        </w:rPr>
        <w:t xml:space="preserve">the </w:t>
      </w:r>
      <w:r w:rsidR="00EA0502" w:rsidRPr="00885A57">
        <w:rPr>
          <w:rFonts w:ascii="Times New Roman" w:eastAsia="標楷體" w:hAnsi="Times New Roman" w:cs="Times New Roman"/>
          <w:szCs w:val="24"/>
        </w:rPr>
        <w:t>physical</w:t>
      </w:r>
      <w:r w:rsidR="00336CEF">
        <w:rPr>
          <w:rFonts w:ascii="Times New Roman" w:eastAsia="標楷體" w:hAnsi="Times New Roman" w:cs="Times New Roman"/>
          <w:szCs w:val="24"/>
        </w:rPr>
        <w:t>ly</w:t>
      </w:r>
      <w:r w:rsidR="00EA0502" w:rsidRPr="00885A57">
        <w:rPr>
          <w:rFonts w:ascii="Times New Roman" w:eastAsia="標楷體" w:hAnsi="Times New Roman" w:cs="Times New Roman"/>
          <w:szCs w:val="24"/>
        </w:rPr>
        <w:t xml:space="preserve"> </w:t>
      </w:r>
      <w:r w:rsidR="00336CEF">
        <w:rPr>
          <w:rFonts w:ascii="Times New Roman" w:eastAsia="標楷體" w:hAnsi="Times New Roman" w:cs="Times New Roman"/>
          <w:szCs w:val="24"/>
        </w:rPr>
        <w:t>impaired</w:t>
      </w:r>
      <w:r w:rsidRPr="00885A57">
        <w:rPr>
          <w:rFonts w:ascii="Times New Roman" w:eastAsia="標楷體" w:hAnsi="Times New Roman" w:cs="Times New Roman"/>
          <w:szCs w:val="24"/>
        </w:rPr>
        <w:t xml:space="preserve">, the MOTC has made improvements to the accessibility of 13 national scenic areas, including tourist routing and universal design concepts. Facility and equipment infrastructure have been added that provide for accessibility per relevant regulations. A total of 30 accessible tour routes </w:t>
      </w:r>
      <w:r w:rsidR="00336CEF">
        <w:rPr>
          <w:rFonts w:ascii="Times New Roman" w:eastAsia="標楷體" w:hAnsi="Times New Roman" w:cs="Times New Roman"/>
          <w:szCs w:val="24"/>
        </w:rPr>
        <w:t xml:space="preserve">have been made </w:t>
      </w:r>
      <w:r w:rsidRPr="00885A57">
        <w:rPr>
          <w:rFonts w:ascii="Times New Roman" w:eastAsia="標楷體" w:hAnsi="Times New Roman" w:cs="Times New Roman"/>
          <w:szCs w:val="24"/>
        </w:rPr>
        <w:t xml:space="preserve">available on </w:t>
      </w:r>
      <w:r w:rsidR="00336CEF">
        <w:rPr>
          <w:rFonts w:ascii="Times New Roman" w:eastAsia="標楷體" w:hAnsi="Times New Roman" w:cs="Times New Roman"/>
          <w:szCs w:val="24"/>
        </w:rPr>
        <w:t xml:space="preserve">the </w:t>
      </w:r>
      <w:r w:rsidRPr="00885A57">
        <w:rPr>
          <w:rFonts w:ascii="Times New Roman" w:eastAsia="標楷體" w:hAnsi="Times New Roman" w:cs="Times New Roman"/>
          <w:szCs w:val="24"/>
        </w:rPr>
        <w:t xml:space="preserve">official websites of said areas for public </w:t>
      </w:r>
      <w:r w:rsidR="00336CEF">
        <w:rPr>
          <w:rFonts w:ascii="Times New Roman" w:eastAsia="標楷體" w:hAnsi="Times New Roman" w:cs="Times New Roman"/>
          <w:szCs w:val="24"/>
        </w:rPr>
        <w:t>reference</w:t>
      </w:r>
      <w:r w:rsidRPr="00885A57">
        <w:rPr>
          <w:rFonts w:ascii="Times New Roman" w:eastAsia="標楷體" w:hAnsi="Times New Roman" w:cs="Times New Roman"/>
          <w:szCs w:val="24"/>
        </w:rPr>
        <w:t>.</w:t>
      </w:r>
    </w:p>
    <w:p w14:paraId="1DC08744" w14:textId="02DF0A6D" w:rsidR="00F5248C" w:rsidRPr="00885A57" w:rsidRDefault="00336CEF"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89" w:name="_Ref55917620"/>
      <w:r>
        <w:rPr>
          <w:rFonts w:ascii="Times New Roman" w:eastAsia="標楷體" w:hAnsi="Times New Roman" w:cs="Times New Roman"/>
        </w:rPr>
        <w:t xml:space="preserve">To ensure </w:t>
      </w:r>
      <w:r w:rsidR="005729CA" w:rsidRPr="00885A57">
        <w:rPr>
          <w:rFonts w:ascii="Times New Roman" w:eastAsia="標楷體" w:hAnsi="Times New Roman" w:cs="Times New Roman"/>
        </w:rPr>
        <w:t xml:space="preserve">that children with disabilities have </w:t>
      </w:r>
      <w:r>
        <w:rPr>
          <w:rFonts w:ascii="Times New Roman" w:eastAsia="標楷體" w:hAnsi="Times New Roman" w:cs="Times New Roman"/>
        </w:rPr>
        <w:t xml:space="preserve">an </w:t>
      </w:r>
      <w:r w:rsidR="005729CA" w:rsidRPr="00885A57">
        <w:rPr>
          <w:rFonts w:ascii="Times New Roman" w:eastAsia="標楷體" w:hAnsi="Times New Roman" w:cs="Times New Roman"/>
        </w:rPr>
        <w:t>equal opportunity to play, the central government provides subsidies to local authorities and social welfare organizations to organize workshops for playground managers and inclusive education campaigns to promote an inclusive parent</w:t>
      </w:r>
      <w:r w:rsidR="00532BFA">
        <w:rPr>
          <w:rFonts w:ascii="Times New Roman" w:eastAsia="標楷體" w:hAnsi="Times New Roman" w:cs="Times New Roman"/>
        </w:rPr>
        <w:t>-</w:t>
      </w:r>
      <w:r w:rsidR="005729CA" w:rsidRPr="00885A57">
        <w:rPr>
          <w:rFonts w:ascii="Times New Roman" w:eastAsia="標楷體" w:hAnsi="Times New Roman" w:cs="Times New Roman"/>
        </w:rPr>
        <w:t xml:space="preserve">child culture. The government </w:t>
      </w:r>
      <w:r>
        <w:rPr>
          <w:rFonts w:ascii="Times New Roman" w:eastAsia="標楷體" w:hAnsi="Times New Roman" w:cs="Times New Roman"/>
        </w:rPr>
        <w:t xml:space="preserve">has </w:t>
      </w:r>
      <w:r w:rsidR="005729CA" w:rsidRPr="00885A57">
        <w:rPr>
          <w:rFonts w:ascii="Times New Roman" w:eastAsia="標楷體" w:hAnsi="Times New Roman" w:cs="Times New Roman"/>
        </w:rPr>
        <w:t>commissioned research to determine the number and distribution of amusement facilities at playgrounds for children throughout parks nationwide (including facilities for general use and those for children with special needs). The research was completed in 2020, and each relevant authority and local government can refer to it during playground planning.</w:t>
      </w:r>
      <w:bookmarkEnd w:id="189"/>
      <w:r w:rsidR="005729CA" w:rsidRPr="00885A57">
        <w:rPr>
          <w:rStyle w:val="ab"/>
          <w:rFonts w:ascii="Times New Roman" w:eastAsia="標楷體" w:hAnsi="Times New Roman" w:cs="Times New Roman"/>
        </w:rPr>
        <w:footnoteReference w:id="127"/>
      </w:r>
    </w:p>
    <w:p w14:paraId="15CE92CF" w14:textId="38861B35" w:rsidR="00FE5966" w:rsidRPr="00885A57" w:rsidRDefault="00336CEF" w:rsidP="00FE1103">
      <w:pPr>
        <w:pStyle w:val="a7"/>
        <w:numPr>
          <w:ilvl w:val="0"/>
          <w:numId w:val="45"/>
        </w:numPr>
        <w:spacing w:after="120" w:line="360" w:lineRule="auto"/>
        <w:ind w:leftChars="0" w:left="567" w:hanging="567"/>
        <w:jc w:val="both"/>
        <w:rPr>
          <w:rFonts w:ascii="Times New Roman" w:eastAsia="標楷體" w:hAnsi="Times New Roman" w:cs="Times New Roman"/>
          <w:szCs w:val="24"/>
        </w:rPr>
      </w:pPr>
      <w:r>
        <w:rPr>
          <w:rFonts w:ascii="Times New Roman" w:eastAsia="標楷體" w:hAnsi="Times New Roman" w:cs="Times New Roman"/>
          <w:kern w:val="0"/>
          <w:szCs w:val="24"/>
        </w:rPr>
        <w:lastRenderedPageBreak/>
        <w:t>T</w:t>
      </w:r>
      <w:r w:rsidR="005729CA" w:rsidRPr="00885A57">
        <w:rPr>
          <w:rFonts w:ascii="Times New Roman" w:eastAsia="標楷體" w:hAnsi="Times New Roman" w:cs="Times New Roman"/>
          <w:kern w:val="0"/>
          <w:szCs w:val="24"/>
        </w:rPr>
        <w:t xml:space="preserve">o ensure the </w:t>
      </w:r>
      <w:r w:rsidR="00722359" w:rsidRPr="00722359">
        <w:rPr>
          <w:rFonts w:ascii="Times New Roman" w:eastAsia="標楷體" w:hAnsi="Times New Roman" w:cs="Times New Roman"/>
          <w:kern w:val="0"/>
          <w:szCs w:val="24"/>
        </w:rPr>
        <w:t>accessible</w:t>
      </w:r>
      <w:r w:rsidR="005729CA" w:rsidRPr="00885A57">
        <w:rPr>
          <w:rFonts w:ascii="Times New Roman" w:eastAsia="標楷體" w:hAnsi="Times New Roman" w:cs="Times New Roman"/>
          <w:kern w:val="0"/>
          <w:szCs w:val="24"/>
        </w:rPr>
        <w:t xml:space="preserve"> environment of parks and green spaces, the MOI promulgated the </w:t>
      </w:r>
      <w:r w:rsidR="005729CA" w:rsidRPr="00F370E0">
        <w:rPr>
          <w:rFonts w:ascii="Times New Roman" w:eastAsia="標楷體" w:hAnsi="Times New Roman" w:cs="Times New Roman"/>
          <w:kern w:val="0"/>
          <w:szCs w:val="24"/>
        </w:rPr>
        <w:t>Design Standards of Barrier-Free Equipment and Facilities for Ministry of the Interior Authoritative Gathering Places</w:t>
      </w:r>
      <w:r w:rsidR="005729CA" w:rsidRPr="00532BFA">
        <w:rPr>
          <w:rFonts w:ascii="Times New Roman" w:eastAsia="標楷體" w:hAnsi="Times New Roman" w:cs="Times New Roman"/>
          <w:kern w:val="0"/>
          <w:szCs w:val="24"/>
        </w:rPr>
        <w:t xml:space="preserve"> in 2015</w:t>
      </w:r>
      <w:r w:rsidR="005729CA" w:rsidRPr="00885A57">
        <w:rPr>
          <w:rFonts w:ascii="Times New Roman" w:eastAsia="標楷體" w:hAnsi="Times New Roman" w:cs="Times New Roman"/>
          <w:kern w:val="0"/>
          <w:szCs w:val="24"/>
        </w:rPr>
        <w:t xml:space="preserve"> and inspects the </w:t>
      </w:r>
      <w:r w:rsidR="00C84F1D">
        <w:rPr>
          <w:rFonts w:ascii="Times New Roman" w:eastAsia="標楷體" w:hAnsi="Times New Roman" w:cs="Times New Roman"/>
          <w:kern w:val="0"/>
          <w:szCs w:val="24"/>
        </w:rPr>
        <w:t>accessible</w:t>
      </w:r>
      <w:r w:rsidR="005729CA" w:rsidRPr="00885A57">
        <w:rPr>
          <w:rFonts w:ascii="Times New Roman" w:eastAsia="標楷體" w:hAnsi="Times New Roman" w:cs="Times New Roman"/>
          <w:kern w:val="0"/>
          <w:szCs w:val="24"/>
        </w:rPr>
        <w:t xml:space="preserve"> environment of urban parks and green spaces every two years. The ministry considers the accessibility of playgrounds to be a crucial assessment indicator. In 2019, the MOI conducted inspections on 12 local governments and 36 urban parks and green spaces, </w:t>
      </w:r>
      <w:r w:rsidR="004A20CD">
        <w:rPr>
          <w:rFonts w:ascii="Times New Roman" w:eastAsia="標楷體" w:hAnsi="Times New Roman" w:cs="Times New Roman"/>
          <w:kern w:val="0"/>
          <w:szCs w:val="24"/>
        </w:rPr>
        <w:t>since</w:t>
      </w:r>
      <w:r w:rsidR="004A20CD" w:rsidRPr="00885A57">
        <w:rPr>
          <w:rFonts w:ascii="Times New Roman" w:eastAsia="標楷體" w:hAnsi="Times New Roman" w:cs="Times New Roman"/>
          <w:kern w:val="0"/>
          <w:szCs w:val="24"/>
        </w:rPr>
        <w:t xml:space="preserve"> </w:t>
      </w:r>
      <w:r w:rsidR="005729CA" w:rsidRPr="00885A57">
        <w:rPr>
          <w:rFonts w:ascii="Times New Roman" w:eastAsia="標楷體" w:hAnsi="Times New Roman" w:cs="Times New Roman"/>
          <w:kern w:val="0"/>
          <w:szCs w:val="24"/>
        </w:rPr>
        <w:t xml:space="preserve">which </w:t>
      </w:r>
      <w:r w:rsidR="004A20CD">
        <w:rPr>
          <w:rFonts w:ascii="Times New Roman" w:eastAsia="標楷體" w:hAnsi="Times New Roman" w:cs="Times New Roman"/>
          <w:kern w:val="0"/>
          <w:szCs w:val="24"/>
        </w:rPr>
        <w:t xml:space="preserve">time </w:t>
      </w:r>
      <w:r w:rsidR="005729CA" w:rsidRPr="00885A57">
        <w:rPr>
          <w:rFonts w:ascii="Times New Roman" w:eastAsia="標楷體" w:hAnsi="Times New Roman" w:cs="Times New Roman"/>
          <w:kern w:val="0"/>
          <w:szCs w:val="24"/>
        </w:rPr>
        <w:t xml:space="preserve">local authorities </w:t>
      </w:r>
      <w:r w:rsidR="004A20CD">
        <w:rPr>
          <w:rFonts w:ascii="Times New Roman" w:eastAsia="標楷體" w:hAnsi="Times New Roman" w:cs="Times New Roman"/>
          <w:kern w:val="0"/>
          <w:szCs w:val="24"/>
        </w:rPr>
        <w:t xml:space="preserve">having excellent </w:t>
      </w:r>
      <w:r w:rsidR="005729CA" w:rsidRPr="00885A57">
        <w:rPr>
          <w:rFonts w:ascii="Times New Roman" w:eastAsia="標楷體" w:hAnsi="Times New Roman" w:cs="Times New Roman"/>
          <w:kern w:val="0"/>
          <w:szCs w:val="24"/>
        </w:rPr>
        <w:t xml:space="preserve">performance </w:t>
      </w:r>
      <w:r w:rsidR="004A20CD">
        <w:rPr>
          <w:rFonts w:ascii="Times New Roman" w:eastAsia="標楷體" w:hAnsi="Times New Roman" w:cs="Times New Roman"/>
          <w:kern w:val="0"/>
          <w:szCs w:val="24"/>
        </w:rPr>
        <w:t xml:space="preserve">have been </w:t>
      </w:r>
      <w:r w:rsidR="005729CA" w:rsidRPr="00885A57">
        <w:rPr>
          <w:rFonts w:ascii="Times New Roman" w:eastAsia="標楷體" w:hAnsi="Times New Roman" w:cs="Times New Roman"/>
          <w:kern w:val="0"/>
          <w:szCs w:val="24"/>
        </w:rPr>
        <w:t>rewarded. To provide safe playgrounds for children with disabilities, local governments implement regular inspections of playgrounds in parks, relevant follow-up inspections, and guidance for improvement. In 2019, a total of 1,172 playgrounds were inspected.</w:t>
      </w:r>
    </w:p>
    <w:p w14:paraId="30E2DBDA" w14:textId="6EA8579C" w:rsidR="00A47158" w:rsidRPr="00885A57" w:rsidRDefault="005729CA" w:rsidP="001A2139">
      <w:pPr>
        <w:spacing w:after="120" w:line="360" w:lineRule="auto"/>
        <w:jc w:val="both"/>
        <w:rPr>
          <w:rFonts w:ascii="Times New Roman" w:eastAsia="標楷體" w:hAnsi="Times New Roman" w:cs="Times New Roman"/>
          <w:szCs w:val="24"/>
        </w:rPr>
      </w:pPr>
      <w:r w:rsidRPr="00885A57">
        <w:rPr>
          <w:rFonts w:ascii="Times New Roman" w:eastAsia="標楷體" w:hAnsi="Times New Roman" w:cs="Times New Roman"/>
        </w:rPr>
        <w:t xml:space="preserve">C.  </w:t>
      </w:r>
      <w:r w:rsidRPr="00885A57">
        <w:rPr>
          <w:rFonts w:ascii="Times New Roman" w:eastAsia="標楷體" w:hAnsi="Times New Roman" w:cs="Times New Roman"/>
          <w:szCs w:val="24"/>
        </w:rPr>
        <w:t>Reward and development measures</w:t>
      </w:r>
    </w:p>
    <w:p w14:paraId="7E171AF7" w14:textId="171409B4" w:rsidR="00A47158" w:rsidRPr="00885A57" w:rsidRDefault="00451412"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By 2020, the MOC had granted the Arts Award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for 19 years; </w:t>
      </w:r>
      <w:r w:rsidR="004A20CD">
        <w:rPr>
          <w:rFonts w:ascii="Times New Roman" w:eastAsia="標楷體" w:hAnsi="Times New Roman" w:cs="Times New Roman"/>
          <w:szCs w:val="24"/>
        </w:rPr>
        <w:t xml:space="preserve">featuring a </w:t>
      </w:r>
      <w:r w:rsidRPr="00885A57">
        <w:rPr>
          <w:rFonts w:ascii="Times New Roman" w:eastAsia="標楷體" w:hAnsi="Times New Roman" w:cs="Times New Roman"/>
          <w:szCs w:val="24"/>
        </w:rPr>
        <w:t xml:space="preserve">different theme each year, the award encourages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to submit their artwork. Between 2014 and 2016, the ministry held the Accessible Reading activity by hosting literature lectures throughout Taiwan, during which </w:t>
      </w:r>
      <w:r w:rsidR="00931A86">
        <w:rPr>
          <w:rFonts w:ascii="Times New Roman" w:eastAsia="標楷體" w:hAnsi="Times New Roman" w:cs="Times New Roman"/>
          <w:szCs w:val="24"/>
        </w:rPr>
        <w:t>easy-to-read</w:t>
      </w:r>
      <w:r w:rsidRPr="00885A57">
        <w:rPr>
          <w:rFonts w:ascii="Times New Roman" w:eastAsia="標楷體" w:hAnsi="Times New Roman" w:cs="Times New Roman"/>
          <w:szCs w:val="24"/>
        </w:rPr>
        <w:t xml:space="preserve"> versions of works being discussed were available with onsite accessible services. Activity information is detailed in Table 30.1. </w:t>
      </w:r>
      <w:r w:rsidRPr="00885A57">
        <w:rPr>
          <w:rFonts w:ascii="Times New Roman" w:eastAsia="標楷體" w:hAnsi="Times New Roman" w:cs="Times New Roman"/>
          <w:szCs w:val="24"/>
          <w:shd w:val="clear" w:color="auto" w:fill="FFFFFF"/>
        </w:rPr>
        <w:t xml:space="preserve">Since 2013, the MOC has </w:t>
      </w:r>
      <w:r w:rsidR="004A20CD">
        <w:rPr>
          <w:rFonts w:ascii="Times New Roman" w:eastAsia="標楷體" w:hAnsi="Times New Roman" w:cs="Times New Roman"/>
          <w:szCs w:val="24"/>
          <w:shd w:val="clear" w:color="auto" w:fill="FFFFFF"/>
        </w:rPr>
        <w:t xml:space="preserve">held </w:t>
      </w:r>
      <w:r w:rsidRPr="00885A57">
        <w:rPr>
          <w:rFonts w:ascii="Times New Roman" w:eastAsia="標楷體" w:hAnsi="Times New Roman" w:cs="Times New Roman"/>
          <w:szCs w:val="24"/>
          <w:shd w:val="clear" w:color="auto" w:fill="FFFFFF"/>
        </w:rPr>
        <w:t>the Non-Visual Exploration Project every year, combining audio descriptions, touch</w:t>
      </w:r>
      <w:r w:rsidR="001C70F6">
        <w:rPr>
          <w:rFonts w:ascii="Times New Roman" w:eastAsia="標楷體" w:hAnsi="Times New Roman" w:cs="Times New Roman"/>
          <w:szCs w:val="24"/>
          <w:shd w:val="clear" w:color="auto" w:fill="FFFFFF"/>
        </w:rPr>
        <w:t xml:space="preserve"> </w:t>
      </w:r>
      <w:r w:rsidRPr="00885A57">
        <w:rPr>
          <w:rFonts w:ascii="Times New Roman" w:eastAsia="標楷體" w:hAnsi="Times New Roman" w:cs="Times New Roman"/>
          <w:szCs w:val="24"/>
          <w:shd w:val="clear" w:color="auto" w:fill="FFFFFF"/>
        </w:rPr>
        <w:t>based guide</w:t>
      </w:r>
      <w:r w:rsidR="004A20CD">
        <w:rPr>
          <w:rFonts w:ascii="Times New Roman" w:eastAsia="標楷體" w:hAnsi="Times New Roman" w:cs="Times New Roman"/>
          <w:szCs w:val="24"/>
          <w:shd w:val="clear" w:color="auto" w:fill="FFFFFF"/>
        </w:rPr>
        <w:t>d</w:t>
      </w:r>
      <w:r w:rsidRPr="00885A57">
        <w:rPr>
          <w:rFonts w:ascii="Times New Roman" w:eastAsia="標楷體" w:hAnsi="Times New Roman" w:cs="Times New Roman"/>
          <w:szCs w:val="24"/>
          <w:shd w:val="clear" w:color="auto" w:fill="FFFFFF"/>
        </w:rPr>
        <w:t xml:space="preserve"> tour</w:t>
      </w:r>
      <w:r w:rsidR="004A20CD">
        <w:rPr>
          <w:rFonts w:ascii="Times New Roman" w:eastAsia="標楷體" w:hAnsi="Times New Roman" w:cs="Times New Roman"/>
          <w:szCs w:val="24"/>
          <w:shd w:val="clear" w:color="auto" w:fill="FFFFFF"/>
        </w:rPr>
        <w:t>s,</w:t>
      </w:r>
      <w:r w:rsidRPr="00885A57">
        <w:rPr>
          <w:rFonts w:ascii="Times New Roman" w:eastAsia="標楷體" w:hAnsi="Times New Roman" w:cs="Times New Roman"/>
          <w:szCs w:val="24"/>
          <w:shd w:val="clear" w:color="auto" w:fill="FFFFFF"/>
        </w:rPr>
        <w:t xml:space="preserve"> and nonvisual creation workshops. Visitors with disabilities shall be accompanied by individual volunteers. In 2017 and 2019, two permanent exhibitions </w:t>
      </w:r>
      <w:r w:rsidR="004A20CD">
        <w:rPr>
          <w:rFonts w:ascii="Times New Roman" w:eastAsia="標楷體" w:hAnsi="Times New Roman" w:cs="Times New Roman"/>
          <w:szCs w:val="24"/>
          <w:shd w:val="clear" w:color="auto" w:fill="FFFFFF"/>
        </w:rPr>
        <w:t xml:space="preserve">incorporated </w:t>
      </w:r>
      <w:r w:rsidRPr="00885A57">
        <w:rPr>
          <w:rFonts w:ascii="Times New Roman" w:eastAsia="標楷體" w:hAnsi="Times New Roman" w:cs="Times New Roman"/>
          <w:szCs w:val="24"/>
          <w:shd w:val="clear" w:color="auto" w:fill="FFFFFF"/>
        </w:rPr>
        <w:t xml:space="preserve">universal design and assistive </w:t>
      </w:r>
      <w:r w:rsidRPr="00885A57">
        <w:rPr>
          <w:rFonts w:ascii="Times New Roman" w:eastAsia="標楷體" w:hAnsi="Times New Roman" w:cs="Times New Roman"/>
          <w:szCs w:val="24"/>
        </w:rPr>
        <w:t>technologies</w:t>
      </w:r>
      <w:r w:rsidRPr="00885A57">
        <w:rPr>
          <w:rFonts w:ascii="Times New Roman" w:eastAsia="標楷體" w:hAnsi="Times New Roman" w:cs="Times New Roman"/>
          <w:szCs w:val="24"/>
          <w:shd w:val="clear" w:color="auto" w:fill="FFFFFF"/>
        </w:rPr>
        <w:t xml:space="preserve"> for </w:t>
      </w:r>
      <w:r w:rsidR="004A20CD">
        <w:rPr>
          <w:rFonts w:ascii="Times New Roman" w:eastAsia="標楷體" w:hAnsi="Times New Roman" w:cs="Times New Roman"/>
          <w:szCs w:val="24"/>
          <w:shd w:val="clear" w:color="auto" w:fill="FFFFFF"/>
        </w:rPr>
        <w:t xml:space="preserve">the </w:t>
      </w:r>
      <w:r w:rsidRPr="00885A57">
        <w:rPr>
          <w:rFonts w:ascii="Times New Roman" w:eastAsia="標楷體" w:hAnsi="Times New Roman" w:cs="Times New Roman"/>
          <w:szCs w:val="24"/>
          <w:shd w:val="clear" w:color="auto" w:fill="FFFFFF"/>
        </w:rPr>
        <w:t>visual</w:t>
      </w:r>
      <w:r w:rsidR="004A20CD">
        <w:rPr>
          <w:rFonts w:ascii="Times New Roman" w:eastAsia="標楷體" w:hAnsi="Times New Roman" w:cs="Times New Roman"/>
          <w:szCs w:val="24"/>
          <w:shd w:val="clear" w:color="auto" w:fill="FFFFFF"/>
        </w:rPr>
        <w:t>ly</w:t>
      </w:r>
      <w:r w:rsidRPr="00885A57">
        <w:rPr>
          <w:rFonts w:ascii="Times New Roman" w:eastAsia="標楷體" w:hAnsi="Times New Roman" w:cs="Times New Roman"/>
          <w:szCs w:val="24"/>
          <w:shd w:val="clear" w:color="auto" w:fill="FFFFFF"/>
        </w:rPr>
        <w:t xml:space="preserve"> impaired, providing more </w:t>
      </w:r>
      <w:r w:rsidRPr="00885A57">
        <w:rPr>
          <w:rFonts w:ascii="Times New Roman" w:eastAsia="標楷體" w:hAnsi="Times New Roman" w:cs="Times New Roman"/>
          <w:szCs w:val="24"/>
          <w:shd w:val="clear" w:color="auto" w:fill="FFFFFF"/>
        </w:rPr>
        <w:lastRenderedPageBreak/>
        <w:t xml:space="preserve">opportunities for visitors with visual impairment to appreciate </w:t>
      </w:r>
      <w:r w:rsidR="004A20CD">
        <w:rPr>
          <w:rFonts w:ascii="Times New Roman" w:eastAsia="標楷體" w:hAnsi="Times New Roman" w:cs="Times New Roman"/>
          <w:szCs w:val="24"/>
          <w:shd w:val="clear" w:color="auto" w:fill="FFFFFF"/>
        </w:rPr>
        <w:t>works of art</w:t>
      </w:r>
      <w:r w:rsidRPr="00885A57">
        <w:rPr>
          <w:rFonts w:ascii="Times New Roman" w:eastAsia="標楷體" w:hAnsi="Times New Roman" w:cs="Times New Roman"/>
          <w:szCs w:val="24"/>
          <w:shd w:val="clear" w:color="auto" w:fill="FFFFFF"/>
        </w:rPr>
        <w:t>.</w:t>
      </w:r>
    </w:p>
    <w:p w14:paraId="5D0384EB" w14:textId="76C508F1" w:rsidR="00CD339B" w:rsidRPr="00885A57" w:rsidRDefault="00451412"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To improve the quality and quantity of audio descriptions in movies and television programs for people with visual impairment, the MOC has promoted the Training Program of Audio Description Talents since 2017 and has planned a pilot project to encourage movie theaters to install audio description equipment, aiming to increase the coverage of audio description services. Since 2018, the Ministry has encouraged applicants to provide audio descriptions in the directions for funding production of programs of all types</w:t>
      </w:r>
      <w:r w:rsidRPr="00885A57">
        <w:rPr>
          <w:rStyle w:val="ab"/>
          <w:rFonts w:ascii="Times New Roman" w:eastAsia="標楷體" w:hAnsi="Times New Roman" w:cs="Times New Roman"/>
        </w:rPr>
        <w:footnoteReference w:id="128"/>
      </w:r>
      <w:r w:rsidRPr="00885A57">
        <w:rPr>
          <w:rFonts w:ascii="Times New Roman" w:eastAsia="標楷體" w:hAnsi="Times New Roman" w:cs="Times New Roman"/>
          <w:szCs w:val="24"/>
        </w:rPr>
        <w:t>. The MOHW subsidized 12 general activities that provided sign language interpreting and audio descriptions in 2019.</w:t>
      </w:r>
    </w:p>
    <w:p w14:paraId="3B41CF0A" w14:textId="3628CBDE" w:rsidR="000337CE" w:rsidRPr="00885A57" w:rsidRDefault="00451412"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90" w:name="_Ref47423676"/>
      <w:r w:rsidRPr="00885A57">
        <w:rPr>
          <w:rFonts w:ascii="Times New Roman" w:eastAsia="標楷體" w:hAnsi="Times New Roman" w:cs="Times New Roman"/>
          <w:szCs w:val="28"/>
        </w:rPr>
        <w:t xml:space="preserve">The MOE continues </w:t>
      </w:r>
      <w:r w:rsidR="00B61432">
        <w:rPr>
          <w:rFonts w:ascii="Times New Roman" w:eastAsia="標楷體" w:hAnsi="Times New Roman" w:cs="Times New Roman"/>
          <w:szCs w:val="28"/>
        </w:rPr>
        <w:t>to promote</w:t>
      </w:r>
      <w:r w:rsidR="00B61432" w:rsidRPr="00885A57">
        <w:rPr>
          <w:rFonts w:ascii="Times New Roman" w:eastAsia="標楷體" w:hAnsi="Times New Roman" w:cs="Times New Roman"/>
          <w:szCs w:val="28"/>
        </w:rPr>
        <w:t xml:space="preserve"> </w:t>
      </w:r>
      <w:r w:rsidRPr="00885A57">
        <w:rPr>
          <w:rFonts w:ascii="Times New Roman" w:eastAsia="標楷體" w:hAnsi="Times New Roman" w:cs="Times New Roman"/>
          <w:szCs w:val="28"/>
        </w:rPr>
        <w:t>inclusive sports experience</w:t>
      </w:r>
      <w:r w:rsidR="00B61432">
        <w:rPr>
          <w:rFonts w:ascii="Times New Roman" w:eastAsia="標楷體" w:hAnsi="Times New Roman" w:cs="Times New Roman"/>
          <w:szCs w:val="28"/>
        </w:rPr>
        <w:t>s</w:t>
      </w:r>
      <w:r w:rsidRPr="00885A57">
        <w:rPr>
          <w:rFonts w:ascii="Times New Roman" w:eastAsia="標楷體" w:hAnsi="Times New Roman" w:cs="Times New Roman"/>
          <w:szCs w:val="28"/>
        </w:rPr>
        <w:t xml:space="preserve"> by encouraging local governments and national organizations to offer people with disabilities the opportunity to attend mainstream sports events. Furthermore, the MOE has produced documentaries, through development of initiatives and practices, to promote the concept of Together We Move. The MOE implemented the </w:t>
      </w:r>
      <w:r w:rsidRPr="00532BFA">
        <w:rPr>
          <w:rFonts w:ascii="Times New Roman" w:eastAsia="標楷體" w:hAnsi="Times New Roman" w:cs="Times New Roman"/>
          <w:szCs w:val="28"/>
        </w:rPr>
        <w:t>Sports i</w:t>
      </w:r>
      <w:r w:rsidR="00532BFA" w:rsidRPr="00F370E0">
        <w:rPr>
          <w:rFonts w:ascii="Times New Roman" w:eastAsia="標楷體" w:hAnsi="Times New Roman" w:cs="Times New Roman"/>
          <w:szCs w:val="28"/>
        </w:rPr>
        <w:t>n</w:t>
      </w:r>
      <w:r w:rsidRPr="00532BFA">
        <w:rPr>
          <w:rFonts w:ascii="Times New Roman" w:eastAsia="標楷體" w:hAnsi="Times New Roman" w:cs="Times New Roman"/>
          <w:szCs w:val="28"/>
        </w:rPr>
        <w:t xml:space="preserve"> Taiwan Sports Project for</w:t>
      </w:r>
      <w:r w:rsidRPr="00885A57">
        <w:rPr>
          <w:rFonts w:ascii="Times New Roman" w:eastAsia="標楷體" w:hAnsi="Times New Roman" w:cs="Times New Roman"/>
          <w:szCs w:val="28"/>
        </w:rPr>
        <w:t xml:space="preserve"> people with </w:t>
      </w:r>
      <w:r w:rsidR="00C2593E">
        <w:rPr>
          <w:rFonts w:ascii="Times New Roman" w:eastAsia="標楷體" w:hAnsi="Times New Roman" w:cs="Times New Roman"/>
          <w:szCs w:val="28"/>
        </w:rPr>
        <w:t>d</w:t>
      </w:r>
      <w:r w:rsidRPr="00885A57">
        <w:rPr>
          <w:rFonts w:ascii="Times New Roman" w:eastAsia="標楷體" w:hAnsi="Times New Roman" w:cs="Times New Roman"/>
          <w:szCs w:val="28"/>
        </w:rPr>
        <w:t xml:space="preserve">isabilities, under which they approved subsidies totaling NT$118.44 million to </w:t>
      </w:r>
      <w:r w:rsidR="00532BFA">
        <w:rPr>
          <w:rFonts w:ascii="Times New Roman" w:eastAsia="標楷體" w:hAnsi="Times New Roman" w:cs="Times New Roman"/>
          <w:szCs w:val="28"/>
        </w:rPr>
        <w:t xml:space="preserve">support </w:t>
      </w:r>
      <w:r w:rsidRPr="00885A57">
        <w:rPr>
          <w:rFonts w:ascii="Times New Roman" w:eastAsia="標楷體" w:hAnsi="Times New Roman" w:cs="Times New Roman"/>
          <w:szCs w:val="28"/>
        </w:rPr>
        <w:t xml:space="preserve">1,430 sport activities (Table 30.2) to facilitate sports promotion for </w:t>
      </w:r>
      <w:r w:rsidR="00937311">
        <w:rPr>
          <w:rFonts w:ascii="Times New Roman" w:eastAsia="標楷體" w:hAnsi="Times New Roman" w:cs="Times New Roman"/>
          <w:szCs w:val="28"/>
        </w:rPr>
        <w:t>people</w:t>
      </w:r>
      <w:r w:rsidRPr="00885A57">
        <w:rPr>
          <w:rFonts w:ascii="Times New Roman" w:eastAsia="標楷體" w:hAnsi="Times New Roman" w:cs="Times New Roman"/>
          <w:szCs w:val="28"/>
        </w:rPr>
        <w:t xml:space="preserve"> with disabilities between 2016 and 2019. The MOE founded the Facebook </w:t>
      </w:r>
      <w:r w:rsidR="00532BFA">
        <w:rPr>
          <w:rFonts w:ascii="Times New Roman" w:eastAsia="標楷體" w:hAnsi="Times New Roman" w:cs="Times New Roman"/>
          <w:szCs w:val="28"/>
        </w:rPr>
        <w:t>g</w:t>
      </w:r>
      <w:r w:rsidRPr="00885A57">
        <w:rPr>
          <w:rFonts w:ascii="Times New Roman" w:eastAsia="標楷體" w:hAnsi="Times New Roman" w:cs="Times New Roman"/>
          <w:szCs w:val="28"/>
        </w:rPr>
        <w:t xml:space="preserve">roup Sports </w:t>
      </w:r>
      <w:r w:rsidR="002F0020">
        <w:rPr>
          <w:rFonts w:ascii="Times New Roman" w:eastAsia="標楷體" w:hAnsi="Times New Roman" w:cs="Times New Roman"/>
          <w:szCs w:val="28"/>
        </w:rPr>
        <w:t>w</w:t>
      </w:r>
      <w:r w:rsidRPr="00885A57">
        <w:rPr>
          <w:rFonts w:ascii="Times New Roman" w:eastAsia="標楷體" w:hAnsi="Times New Roman" w:cs="Times New Roman"/>
          <w:szCs w:val="28"/>
        </w:rPr>
        <w:t xml:space="preserve">ithout Disabilities: Sports Resource Sharing </w:t>
      </w:r>
      <w:r w:rsidR="00FF6BCF" w:rsidRPr="00885A57">
        <w:rPr>
          <w:rFonts w:ascii="Times New Roman" w:eastAsia="標楷體" w:hAnsi="Times New Roman" w:cs="Times New Roman"/>
          <w:szCs w:val="28"/>
        </w:rPr>
        <w:t>for</w:t>
      </w:r>
      <w:r w:rsidR="00FF6BCF">
        <w:rPr>
          <w:rFonts w:ascii="Times New Roman" w:eastAsia="標楷體" w:hAnsi="Times New Roman" w:cs="Times New Roman"/>
          <w:szCs w:val="28"/>
        </w:rPr>
        <w:t xml:space="preserve"> P</w:t>
      </w:r>
      <w:r w:rsidRPr="00885A57">
        <w:rPr>
          <w:rFonts w:ascii="Times New Roman" w:eastAsia="標楷體" w:hAnsi="Times New Roman" w:cs="Times New Roman"/>
          <w:szCs w:val="28"/>
        </w:rPr>
        <w:t xml:space="preserve">eople with Disabilities, in which information, news, details, and feedback related to parasports are shared. This group enables the </w:t>
      </w:r>
      <w:r w:rsidRPr="00885A57">
        <w:rPr>
          <w:rFonts w:ascii="Times New Roman" w:eastAsia="標楷體" w:hAnsi="Times New Roman" w:cs="Times New Roman"/>
          <w:szCs w:val="28"/>
        </w:rPr>
        <w:lastRenderedPageBreak/>
        <w:t xml:space="preserve">widespread </w:t>
      </w:r>
      <w:r w:rsidR="00FF6BCF">
        <w:rPr>
          <w:rFonts w:ascii="Times New Roman" w:eastAsia="標楷體" w:hAnsi="Times New Roman" w:cs="Times New Roman"/>
          <w:szCs w:val="28"/>
        </w:rPr>
        <w:t xml:space="preserve">sharing </w:t>
      </w:r>
      <w:r w:rsidRPr="00885A57">
        <w:rPr>
          <w:rFonts w:ascii="Times New Roman" w:eastAsia="標楷體" w:hAnsi="Times New Roman" w:cs="Times New Roman"/>
          <w:szCs w:val="28"/>
        </w:rPr>
        <w:t>of parasport</w:t>
      </w:r>
      <w:r w:rsidR="00FF6BCF">
        <w:rPr>
          <w:rFonts w:ascii="Times New Roman" w:eastAsia="標楷體" w:hAnsi="Times New Roman" w:cs="Times New Roman"/>
          <w:szCs w:val="28"/>
        </w:rPr>
        <w:t>s</w:t>
      </w:r>
      <w:r w:rsidRPr="00885A57">
        <w:rPr>
          <w:rFonts w:ascii="Times New Roman" w:eastAsia="標楷體" w:hAnsi="Times New Roman" w:cs="Times New Roman"/>
          <w:szCs w:val="28"/>
        </w:rPr>
        <w:t xml:space="preserve"> information in Taiwan and abroad through county/city organizations and professionals.</w:t>
      </w:r>
      <w:bookmarkEnd w:id="190"/>
      <w:r w:rsidRPr="00885A57">
        <w:rPr>
          <w:rFonts w:ascii="Times New Roman" w:eastAsia="標楷體" w:hAnsi="Times New Roman" w:cs="Times New Roman"/>
          <w:vertAlign w:val="superscript"/>
        </w:rPr>
        <w:footnoteReference w:id="129"/>
      </w:r>
    </w:p>
    <w:p w14:paraId="135FE4C8" w14:textId="09A665D7" w:rsidR="009B3FA7" w:rsidRPr="00885A57" w:rsidRDefault="00CF76AC" w:rsidP="001A2139">
      <w:pPr>
        <w:pStyle w:val="10"/>
        <w:spacing w:after="120" w:line="360" w:lineRule="auto"/>
        <w:rPr>
          <w:rFonts w:ascii="Times New Roman" w:hAnsi="Times New Roman"/>
        </w:rPr>
      </w:pPr>
      <w:bookmarkStart w:id="191" w:name="_Toc73108700"/>
      <w:r w:rsidRPr="00885A57">
        <w:rPr>
          <w:rFonts w:ascii="Times New Roman" w:hAnsi="Times New Roman"/>
        </w:rPr>
        <w:t>Article 31</w:t>
      </w:r>
      <w:bookmarkStart w:id="192" w:name="_Toc55900618"/>
      <w:r w:rsidR="00085515" w:rsidRPr="00885A57">
        <w:rPr>
          <w:rFonts w:ascii="Times New Roman" w:hAnsi="Times New Roman"/>
        </w:rPr>
        <w:t xml:space="preserve">: </w:t>
      </w:r>
      <w:r w:rsidRPr="00885A57">
        <w:rPr>
          <w:rFonts w:ascii="Times New Roman" w:hAnsi="Times New Roman"/>
        </w:rPr>
        <w:t>Statistics and data collection</w:t>
      </w:r>
      <w:bookmarkEnd w:id="191"/>
      <w:r w:rsidR="00CB1D2A" w:rsidRPr="00885A57">
        <w:rPr>
          <w:rFonts w:ascii="Times New Roman" w:hAnsi="Times New Roman"/>
        </w:rPr>
        <w:tab/>
      </w:r>
      <w:r w:rsidR="00CB1D2A" w:rsidRPr="00885A57">
        <w:rPr>
          <w:rFonts w:ascii="Times New Roman" w:hAnsi="Times New Roman"/>
        </w:rPr>
        <w:tab/>
      </w:r>
      <w:r w:rsidR="00CB1D2A" w:rsidRPr="00885A57">
        <w:rPr>
          <w:rFonts w:ascii="Times New Roman" w:hAnsi="Times New Roman"/>
        </w:rPr>
        <w:tab/>
      </w:r>
      <w:r w:rsidR="00CB1D2A" w:rsidRPr="00885A57">
        <w:rPr>
          <w:rFonts w:ascii="Times New Roman" w:hAnsi="Times New Roman"/>
        </w:rPr>
        <w:tab/>
      </w:r>
      <w:r w:rsidR="00CB1D2A" w:rsidRPr="00885A57">
        <w:rPr>
          <w:rFonts w:ascii="Times New Roman" w:hAnsi="Times New Roman"/>
        </w:rPr>
        <w:tab/>
      </w:r>
      <w:r w:rsidR="00CB1D2A" w:rsidRPr="00885A57">
        <w:rPr>
          <w:rFonts w:ascii="Times New Roman" w:hAnsi="Times New Roman"/>
        </w:rPr>
        <w:tab/>
      </w:r>
      <w:r w:rsidR="00CB1D2A" w:rsidRPr="00885A57">
        <w:rPr>
          <w:rFonts w:ascii="Times New Roman" w:hAnsi="Times New Roman"/>
        </w:rPr>
        <w:tab/>
      </w:r>
      <w:r w:rsidR="00CB1D2A" w:rsidRPr="00885A57">
        <w:rPr>
          <w:rFonts w:ascii="Times New Roman" w:hAnsi="Times New Roman"/>
        </w:rPr>
        <w:tab/>
      </w:r>
      <w:bookmarkEnd w:id="192"/>
    </w:p>
    <w:p w14:paraId="6C428F53" w14:textId="0BC87F08" w:rsidR="00A47158" w:rsidRPr="00885A57" w:rsidRDefault="00451412" w:rsidP="0052448C">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bCs/>
          <w:szCs w:val="24"/>
        </w:rPr>
        <w:t>To determine the living status, healthcare, special education, vocational training, employment, transportation</w:t>
      </w:r>
      <w:r w:rsidR="00FF6BCF">
        <w:rPr>
          <w:rFonts w:ascii="Times New Roman" w:eastAsia="標楷體" w:hAnsi="Times New Roman" w:cs="Times New Roman"/>
          <w:bCs/>
          <w:szCs w:val="24"/>
        </w:rPr>
        <w:t>,</w:t>
      </w:r>
      <w:r w:rsidRPr="00885A57">
        <w:rPr>
          <w:rFonts w:ascii="Times New Roman" w:eastAsia="標楷體" w:hAnsi="Times New Roman" w:cs="Times New Roman"/>
          <w:bCs/>
          <w:szCs w:val="24"/>
        </w:rPr>
        <w:t xml:space="preserve"> and welfare requirements of people with disabilities, </w:t>
      </w:r>
      <w:r w:rsidR="00465808">
        <w:rPr>
          <w:rFonts w:ascii="Times New Roman" w:eastAsia="標楷體" w:hAnsi="Times New Roman" w:cs="Times New Roman"/>
          <w:bCs/>
          <w:szCs w:val="24"/>
        </w:rPr>
        <w:t>governments at all levels</w:t>
      </w:r>
      <w:r w:rsidRPr="00885A57">
        <w:rPr>
          <w:rFonts w:ascii="Times New Roman" w:eastAsia="標楷體" w:hAnsi="Times New Roman" w:cs="Times New Roman"/>
          <w:bCs/>
          <w:szCs w:val="24"/>
        </w:rPr>
        <w:t>, pursuant to the PDRPA, conduct needs assessments and service surveys every five years, and consider current policy requirements a survey item</w:t>
      </w:r>
      <w:r w:rsidR="00FF6BCF">
        <w:rPr>
          <w:rFonts w:ascii="Times New Roman" w:eastAsia="標楷體" w:hAnsi="Times New Roman" w:cs="Times New Roman"/>
          <w:bCs/>
          <w:szCs w:val="24"/>
        </w:rPr>
        <w:t xml:space="preserve">. They </w:t>
      </w:r>
      <w:r w:rsidRPr="00885A57">
        <w:rPr>
          <w:rFonts w:ascii="Times New Roman" w:eastAsia="標楷體" w:hAnsi="Times New Roman" w:cs="Times New Roman"/>
          <w:bCs/>
          <w:szCs w:val="24"/>
        </w:rPr>
        <w:t xml:space="preserve">consult </w:t>
      </w:r>
      <w:r w:rsidR="00FF6BCF">
        <w:rPr>
          <w:rFonts w:ascii="Times New Roman" w:eastAsia="標楷體" w:hAnsi="Times New Roman" w:cs="Times New Roman"/>
          <w:bCs/>
          <w:szCs w:val="24"/>
        </w:rPr>
        <w:t xml:space="preserve">with </w:t>
      </w:r>
      <w:r w:rsidRPr="00885A57">
        <w:rPr>
          <w:rFonts w:ascii="Times New Roman" w:eastAsia="標楷體" w:hAnsi="Times New Roman" w:cs="Times New Roman"/>
          <w:bCs/>
          <w:szCs w:val="24"/>
        </w:rPr>
        <w:t>people with disabilities and their representative organizations during questionnaire development. To make questionnaire</w:t>
      </w:r>
      <w:r w:rsidR="00FF6BCF">
        <w:rPr>
          <w:rFonts w:ascii="Times New Roman" w:eastAsia="標楷體" w:hAnsi="Times New Roman" w:cs="Times New Roman"/>
          <w:bCs/>
          <w:szCs w:val="24"/>
        </w:rPr>
        <w:t>s</w:t>
      </w:r>
      <w:r w:rsidRPr="00885A57">
        <w:rPr>
          <w:rFonts w:ascii="Times New Roman" w:eastAsia="標楷體" w:hAnsi="Times New Roman" w:cs="Times New Roman"/>
          <w:bCs/>
          <w:szCs w:val="24"/>
        </w:rPr>
        <w:t xml:space="preserve"> more widely accessible and ensure that people with different types of disabilities can complete </w:t>
      </w:r>
      <w:r w:rsidR="00FF6BCF">
        <w:rPr>
          <w:rFonts w:ascii="Times New Roman" w:eastAsia="標楷體" w:hAnsi="Times New Roman" w:cs="Times New Roman"/>
          <w:bCs/>
          <w:szCs w:val="24"/>
        </w:rPr>
        <w:t>them</w:t>
      </w:r>
      <w:r w:rsidRPr="00885A57">
        <w:rPr>
          <w:rFonts w:ascii="Times New Roman" w:eastAsia="標楷體" w:hAnsi="Times New Roman" w:cs="Times New Roman"/>
          <w:bCs/>
          <w:szCs w:val="24"/>
        </w:rPr>
        <w:t>,</w:t>
      </w:r>
      <w:r w:rsidR="00FF6BCF">
        <w:rPr>
          <w:rFonts w:ascii="Times New Roman" w:eastAsia="標楷體" w:hAnsi="Times New Roman" w:cs="Times New Roman" w:hint="eastAsia"/>
          <w:bCs/>
          <w:szCs w:val="24"/>
        </w:rPr>
        <w:t xml:space="preserve"> </w:t>
      </w:r>
      <w:r w:rsidR="00FF6BCF">
        <w:rPr>
          <w:rFonts w:ascii="Times New Roman" w:eastAsia="標楷體" w:hAnsi="Times New Roman" w:cs="Times New Roman"/>
          <w:bCs/>
          <w:szCs w:val="24"/>
        </w:rPr>
        <w:t>an</w:t>
      </w:r>
      <w:r w:rsidRPr="00885A57">
        <w:rPr>
          <w:rFonts w:ascii="Times New Roman" w:eastAsia="標楷體" w:hAnsi="Times New Roman" w:cs="Times New Roman"/>
          <w:bCs/>
          <w:szCs w:val="24"/>
        </w:rPr>
        <w:t xml:space="preserve"> </w:t>
      </w:r>
      <w:r w:rsidR="00931A86">
        <w:rPr>
          <w:rFonts w:ascii="Times New Roman" w:eastAsia="標楷體" w:hAnsi="Times New Roman" w:cs="Times New Roman"/>
          <w:bCs/>
          <w:szCs w:val="24"/>
        </w:rPr>
        <w:t>easy-to-read</w:t>
      </w:r>
      <w:r w:rsidRPr="00885A57">
        <w:rPr>
          <w:rFonts w:ascii="Times New Roman" w:eastAsia="標楷體" w:hAnsi="Times New Roman" w:cs="Times New Roman"/>
          <w:bCs/>
          <w:szCs w:val="24"/>
        </w:rPr>
        <w:t xml:space="preserve"> version has been designed. The MOHW has compiled disability data </w:t>
      </w:r>
      <w:r w:rsidR="00FF6BCF">
        <w:rPr>
          <w:rFonts w:ascii="Times New Roman" w:eastAsia="標楷體" w:hAnsi="Times New Roman" w:cs="Times New Roman"/>
          <w:bCs/>
          <w:szCs w:val="24"/>
        </w:rPr>
        <w:t xml:space="preserve">collected </w:t>
      </w:r>
      <w:r w:rsidRPr="00885A57">
        <w:rPr>
          <w:rFonts w:ascii="Times New Roman" w:eastAsia="標楷體" w:hAnsi="Times New Roman" w:cs="Times New Roman"/>
          <w:bCs/>
          <w:szCs w:val="24"/>
        </w:rPr>
        <w:t xml:space="preserve">by </w:t>
      </w:r>
      <w:r w:rsidR="003E6F92">
        <w:rPr>
          <w:rFonts w:ascii="Times New Roman" w:eastAsia="標楷體" w:hAnsi="Times New Roman" w:cs="Times New Roman"/>
          <w:bCs/>
          <w:szCs w:val="24"/>
        </w:rPr>
        <w:t>government</w:t>
      </w:r>
      <w:r w:rsidRPr="00885A57">
        <w:rPr>
          <w:rFonts w:ascii="Times New Roman" w:eastAsia="標楷體" w:hAnsi="Times New Roman" w:cs="Times New Roman"/>
          <w:bCs/>
          <w:szCs w:val="24"/>
        </w:rPr>
        <w:t xml:space="preserve"> agencies and, by referring to the CRPD categorization, systemically established a website section exclusively for statistical inquiries regarding people with disabilities for the reference of all sectors.</w:t>
      </w:r>
      <w:r w:rsidRPr="00885A57">
        <w:rPr>
          <w:rStyle w:val="ab"/>
          <w:rFonts w:ascii="Times New Roman" w:eastAsia="標楷體" w:hAnsi="Times New Roman" w:cs="Times New Roman"/>
        </w:rPr>
        <w:footnoteReference w:id="130"/>
      </w:r>
    </w:p>
    <w:p w14:paraId="1305C170" w14:textId="7AA188B5" w:rsidR="00A90A77" w:rsidRPr="00885A57" w:rsidRDefault="00451412"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93" w:name="_Ref55917666"/>
      <w:r w:rsidRPr="00885A57">
        <w:rPr>
          <w:rFonts w:ascii="Times New Roman" w:eastAsia="標楷體" w:hAnsi="Times New Roman" w:cs="Times New Roman"/>
          <w:szCs w:val="24"/>
        </w:rPr>
        <w:t xml:space="preserve">To compare statistics on populations with disabilities </w:t>
      </w:r>
      <w:r w:rsidR="00B13DC0" w:rsidRPr="00885A57">
        <w:rPr>
          <w:rFonts w:ascii="Times New Roman" w:eastAsia="標楷體" w:hAnsi="Times New Roman" w:cs="Times New Roman"/>
          <w:szCs w:val="24"/>
        </w:rPr>
        <w:t xml:space="preserve">and nondisabled populations </w:t>
      </w:r>
      <w:r w:rsidRPr="00885A57">
        <w:rPr>
          <w:rFonts w:ascii="Times New Roman" w:eastAsia="標楷體" w:hAnsi="Times New Roman" w:cs="Times New Roman"/>
          <w:szCs w:val="24"/>
        </w:rPr>
        <w:t xml:space="preserve">and comply with CRPD principles during data collection, the MOHW, in collaboration with people with disabilities and their representative organizations, proposed a human rights indicator framework (draft) in 2019 and held relevant workshops in 2020. The aforementioned framework serves as a reference for </w:t>
      </w:r>
      <w:r w:rsidR="00E64191">
        <w:rPr>
          <w:rFonts w:ascii="Times New Roman" w:eastAsia="標楷體" w:hAnsi="Times New Roman" w:cs="Times New Roman"/>
          <w:szCs w:val="24"/>
        </w:rPr>
        <w:t xml:space="preserve">governments at all levels </w:t>
      </w:r>
      <w:r w:rsidRPr="00885A57">
        <w:rPr>
          <w:rFonts w:ascii="Times New Roman" w:eastAsia="標楷體" w:hAnsi="Times New Roman" w:cs="Times New Roman"/>
          <w:szCs w:val="24"/>
        </w:rPr>
        <w:t xml:space="preserve">to revise their statistical or survey methods, </w:t>
      </w:r>
      <w:r w:rsidRPr="00885A57">
        <w:rPr>
          <w:rFonts w:ascii="Times New Roman" w:eastAsia="標楷體" w:hAnsi="Times New Roman" w:cs="Times New Roman"/>
          <w:szCs w:val="24"/>
        </w:rPr>
        <w:lastRenderedPageBreak/>
        <w:t xml:space="preserve">include disability survey items, and facilitate the development of localized human rights indicators. To achieve the goal of developing </w:t>
      </w:r>
      <w:r w:rsidR="00532BFA">
        <w:rPr>
          <w:rFonts w:ascii="Times New Roman" w:eastAsia="標楷體" w:hAnsi="Times New Roman" w:cs="Times New Roman"/>
          <w:szCs w:val="24"/>
        </w:rPr>
        <w:t xml:space="preserve">five </w:t>
      </w:r>
      <w:r w:rsidR="00FF6BCF">
        <w:rPr>
          <w:rFonts w:ascii="Times New Roman" w:eastAsia="標楷體" w:hAnsi="Times New Roman" w:cs="Times New Roman"/>
          <w:szCs w:val="24"/>
        </w:rPr>
        <w:t xml:space="preserve">to </w:t>
      </w:r>
      <w:r w:rsidRPr="00885A57">
        <w:rPr>
          <w:rFonts w:ascii="Times New Roman" w:eastAsia="標楷體" w:hAnsi="Times New Roman" w:cs="Times New Roman"/>
          <w:szCs w:val="24"/>
        </w:rPr>
        <w:t>10 human rights indicators by 2024 as mentioned in the National Human Rights Action Plan, the MOHW intends to regularly monitor the CRPD implementation.</w:t>
      </w:r>
      <w:bookmarkEnd w:id="193"/>
      <w:r w:rsidR="00EF61F5" w:rsidRPr="00885A57">
        <w:rPr>
          <w:rStyle w:val="ab"/>
          <w:rFonts w:ascii="Times New Roman" w:eastAsia="標楷體" w:hAnsi="Times New Roman" w:cs="Times New Roman"/>
        </w:rPr>
        <w:footnoteReference w:id="131"/>
      </w:r>
    </w:p>
    <w:p w14:paraId="249ED552" w14:textId="24FBE72F" w:rsidR="003E27BB" w:rsidRPr="00885A57" w:rsidRDefault="00451412"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Presently, the prison administration system archives the disability type, sex, age, and crime(s) </w:t>
      </w:r>
      <w:r w:rsidR="00FF6BCF">
        <w:rPr>
          <w:rFonts w:ascii="Times New Roman" w:eastAsia="標楷體" w:hAnsi="Times New Roman" w:cs="Times New Roman"/>
          <w:szCs w:val="24"/>
        </w:rPr>
        <w:t xml:space="preserve">of </w:t>
      </w:r>
      <w:r w:rsidRPr="00885A57">
        <w:rPr>
          <w:rFonts w:ascii="Times New Roman" w:eastAsia="標楷體" w:hAnsi="Times New Roman" w:cs="Times New Roman"/>
          <w:szCs w:val="24"/>
        </w:rPr>
        <w:t xml:space="preserve">inmates with disabilities. In labor statistics categorized by </w:t>
      </w:r>
      <w:r w:rsidRPr="00885A57">
        <w:rPr>
          <w:rFonts w:ascii="Times New Roman" w:eastAsia="標楷體" w:hAnsi="Times New Roman" w:cs="Times New Roman"/>
          <w:szCs w:val="24"/>
          <w:shd w:val="clear" w:color="auto" w:fill="FFFFFF"/>
        </w:rPr>
        <w:t>different population group</w:t>
      </w:r>
      <w:r w:rsidRPr="00885A57">
        <w:rPr>
          <w:rFonts w:ascii="Times New Roman" w:eastAsia="標楷體" w:hAnsi="Times New Roman" w:cs="Times New Roman"/>
          <w:szCs w:val="24"/>
        </w:rPr>
        <w:t xml:space="preserve"> on the Labor Statistics Network, a special section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has been </w:t>
      </w:r>
      <w:r w:rsidR="00FF6BCF">
        <w:rPr>
          <w:rFonts w:ascii="Times New Roman" w:eastAsia="標楷體" w:hAnsi="Times New Roman" w:cs="Times New Roman"/>
          <w:szCs w:val="24"/>
        </w:rPr>
        <w:t>created</w:t>
      </w:r>
      <w:r w:rsidRPr="00885A57">
        <w:rPr>
          <w:rFonts w:ascii="Times New Roman" w:eastAsia="標楷體" w:hAnsi="Times New Roman" w:cs="Times New Roman"/>
          <w:szCs w:val="24"/>
        </w:rPr>
        <w:t>.</w:t>
      </w:r>
      <w:r w:rsidR="00C14DFD" w:rsidRPr="00885A57">
        <w:rPr>
          <w:rStyle w:val="ab"/>
          <w:rFonts w:ascii="Times New Roman" w:eastAsia="標楷體" w:hAnsi="Times New Roman" w:cs="Times New Roman"/>
        </w:rPr>
        <w:footnoteReference w:id="132"/>
      </w:r>
      <w:r w:rsidRPr="00885A57">
        <w:rPr>
          <w:rFonts w:ascii="Times New Roman" w:eastAsia="標楷體" w:hAnsi="Times New Roman" w:cs="Times New Roman"/>
          <w:szCs w:val="24"/>
        </w:rPr>
        <w:t xml:space="preserve"> In </w:t>
      </w:r>
      <w:r w:rsidR="00FF6BCF">
        <w:rPr>
          <w:rFonts w:ascii="Times New Roman" w:eastAsia="標楷體" w:hAnsi="Times New Roman" w:cs="Times New Roman"/>
          <w:szCs w:val="24"/>
        </w:rPr>
        <w:t xml:space="preserve">this </w:t>
      </w:r>
      <w:r w:rsidRPr="00885A57">
        <w:rPr>
          <w:rFonts w:ascii="Times New Roman" w:eastAsia="標楷體" w:hAnsi="Times New Roman" w:cs="Times New Roman"/>
          <w:szCs w:val="24"/>
        </w:rPr>
        <w:t xml:space="preserve">section, data on employment services, employment quota implementation, and </w:t>
      </w:r>
      <w:r w:rsidRPr="00885A57">
        <w:rPr>
          <w:rFonts w:ascii="Times New Roman" w:eastAsia="標楷體" w:hAnsi="Times New Roman" w:cs="Times New Roman"/>
          <w:szCs w:val="24"/>
          <w:shd w:val="clear" w:color="auto" w:fill="FFFFFF"/>
        </w:rPr>
        <w:t>vocational training</w:t>
      </w:r>
      <w:r w:rsidRPr="00885A57">
        <w:rPr>
          <w:rFonts w:ascii="Times New Roman" w:eastAsia="標楷體" w:hAnsi="Times New Roman" w:cs="Times New Roman"/>
          <w:szCs w:val="24"/>
        </w:rPr>
        <w:t xml:space="preserve"> status of said persons are regularly published. The MOL routinely prepares the </w:t>
      </w:r>
      <w:r w:rsidR="00EC6B9E" w:rsidRPr="00B734DB">
        <w:rPr>
          <w:rFonts w:ascii="Times New Roman" w:eastAsia="標楷體" w:hAnsi="Times New Roman" w:cs="Times New Roman"/>
          <w:szCs w:val="24"/>
        </w:rPr>
        <w:t>Survey on the Employment Status of People with Disabilities</w:t>
      </w:r>
      <w:r w:rsidRPr="00885A57">
        <w:rPr>
          <w:rFonts w:ascii="Times New Roman" w:eastAsia="標楷體" w:hAnsi="Times New Roman" w:cs="Times New Roman"/>
          <w:szCs w:val="24"/>
        </w:rPr>
        <w:t xml:space="preserve">, with the aim of determining the labor and employment conditions of said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as well as their need for vocational training and </w:t>
      </w:r>
      <w:r w:rsidRPr="00885A57">
        <w:rPr>
          <w:rFonts w:ascii="Times New Roman" w:eastAsia="標楷體" w:hAnsi="Times New Roman" w:cs="Times New Roman"/>
          <w:szCs w:val="24"/>
          <w:shd w:val="clear" w:color="auto" w:fill="FFFFFF"/>
        </w:rPr>
        <w:t>employment</w:t>
      </w:r>
      <w:r w:rsidRPr="00885A57">
        <w:rPr>
          <w:rFonts w:ascii="Times New Roman" w:eastAsia="標楷體" w:hAnsi="Times New Roman" w:cs="Times New Roman"/>
          <w:szCs w:val="24"/>
        </w:rPr>
        <w:t xml:space="preserve"> services.</w:t>
      </w:r>
    </w:p>
    <w:p w14:paraId="48B3B48B" w14:textId="31771D25" w:rsidR="00C961F0" w:rsidRPr="00885A57" w:rsidRDefault="00CF76AC" w:rsidP="001A2139">
      <w:pPr>
        <w:pStyle w:val="10"/>
        <w:spacing w:after="120" w:line="360" w:lineRule="auto"/>
        <w:rPr>
          <w:rFonts w:ascii="Times New Roman" w:hAnsi="Times New Roman"/>
        </w:rPr>
      </w:pPr>
      <w:bookmarkStart w:id="194" w:name="_Toc73108701"/>
      <w:r w:rsidRPr="00885A57">
        <w:rPr>
          <w:rFonts w:ascii="Times New Roman" w:hAnsi="Times New Roman"/>
        </w:rPr>
        <w:t>Article 32</w:t>
      </w:r>
      <w:bookmarkStart w:id="195" w:name="_Toc55900620"/>
      <w:r w:rsidR="00085515" w:rsidRPr="00885A57">
        <w:rPr>
          <w:rFonts w:ascii="Times New Roman" w:hAnsi="Times New Roman"/>
        </w:rPr>
        <w:t xml:space="preserve">: </w:t>
      </w:r>
      <w:r w:rsidRPr="00885A57">
        <w:rPr>
          <w:rFonts w:ascii="Times New Roman" w:hAnsi="Times New Roman"/>
        </w:rPr>
        <w:t>International cooperation</w:t>
      </w:r>
      <w:bookmarkEnd w:id="194"/>
      <w:r w:rsidR="00FE3D2B" w:rsidRPr="00885A57">
        <w:rPr>
          <w:rFonts w:ascii="Times New Roman" w:hAnsi="Times New Roman"/>
        </w:rPr>
        <w:tab/>
      </w:r>
      <w:r w:rsidR="00FE3D2B" w:rsidRPr="00885A57">
        <w:rPr>
          <w:rFonts w:ascii="Times New Roman" w:hAnsi="Times New Roman"/>
        </w:rPr>
        <w:tab/>
      </w:r>
      <w:r w:rsidR="00FE3D2B" w:rsidRPr="00885A57">
        <w:rPr>
          <w:rFonts w:ascii="Times New Roman" w:hAnsi="Times New Roman"/>
        </w:rPr>
        <w:tab/>
      </w:r>
      <w:r w:rsidR="00FE3D2B" w:rsidRPr="00885A57">
        <w:rPr>
          <w:rFonts w:ascii="Times New Roman" w:hAnsi="Times New Roman"/>
        </w:rPr>
        <w:tab/>
      </w:r>
      <w:r w:rsidR="00FE3D2B" w:rsidRPr="00885A57">
        <w:rPr>
          <w:rFonts w:ascii="Times New Roman" w:hAnsi="Times New Roman"/>
        </w:rPr>
        <w:tab/>
      </w:r>
      <w:r w:rsidR="00FE3D2B" w:rsidRPr="00885A57">
        <w:rPr>
          <w:rFonts w:ascii="Times New Roman" w:hAnsi="Times New Roman"/>
        </w:rPr>
        <w:tab/>
      </w:r>
      <w:bookmarkEnd w:id="195"/>
    </w:p>
    <w:p w14:paraId="0317DF91" w14:textId="11DD7F23" w:rsidR="00906CAE" w:rsidRPr="00885A57" w:rsidRDefault="00EF61F5" w:rsidP="0052448C">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hAnsi="Times New Roman" w:cs="Times New Roman"/>
          <w:szCs w:val="24"/>
        </w:rPr>
        <w:t xml:space="preserve">To guarantee the right of </w:t>
      </w:r>
      <w:r w:rsidR="00A13E7B" w:rsidRPr="00885A57">
        <w:rPr>
          <w:rFonts w:ascii="Times New Roman" w:hAnsi="Times New Roman" w:cs="Times New Roman"/>
          <w:szCs w:val="24"/>
        </w:rPr>
        <w:t>people with disabilities</w:t>
      </w:r>
      <w:r w:rsidRPr="00885A57">
        <w:rPr>
          <w:rFonts w:ascii="Times New Roman" w:hAnsi="Times New Roman" w:cs="Times New Roman"/>
          <w:szCs w:val="24"/>
        </w:rPr>
        <w:t xml:space="preserve"> to equal international political, economic, and cultural engagement, Taiwan has helped domestic NGOs attend and host international events in recent years, monitored international trends and developments regarding people with disabilities, and implemented cooperative projects with </w:t>
      </w:r>
      <w:r w:rsidR="00A13E7B" w:rsidRPr="00885A57">
        <w:rPr>
          <w:rFonts w:ascii="Times New Roman" w:hAnsi="Times New Roman" w:cs="Times New Roman"/>
          <w:szCs w:val="24"/>
        </w:rPr>
        <w:t>people with disabilities</w:t>
      </w:r>
      <w:r w:rsidRPr="00885A57">
        <w:rPr>
          <w:rFonts w:ascii="Times New Roman" w:hAnsi="Times New Roman" w:cs="Times New Roman"/>
          <w:szCs w:val="24"/>
        </w:rPr>
        <w:t xml:space="preserve"> and organizations representing them in countries having diplomatic relations with Taiwan (Table 32.1).</w:t>
      </w:r>
    </w:p>
    <w:p w14:paraId="7E8F3644" w14:textId="3FCC0A3E" w:rsidR="00C961F0" w:rsidRPr="00885A57" w:rsidRDefault="00EF61F5" w:rsidP="0052448C">
      <w:pPr>
        <w:pStyle w:val="a7"/>
        <w:numPr>
          <w:ilvl w:val="0"/>
          <w:numId w:val="45"/>
        </w:numPr>
        <w:spacing w:after="120" w:line="360" w:lineRule="auto"/>
        <w:ind w:leftChars="0" w:left="567" w:hanging="567"/>
        <w:jc w:val="both"/>
        <w:rPr>
          <w:rFonts w:ascii="Times New Roman" w:eastAsia="標楷體" w:hAnsi="Times New Roman" w:cs="Times New Roman"/>
          <w:szCs w:val="24"/>
        </w:rPr>
      </w:pPr>
      <w:r w:rsidRPr="00885A57">
        <w:rPr>
          <w:rFonts w:ascii="Times New Roman" w:eastAsia="標楷體" w:hAnsi="Times New Roman" w:cs="Times New Roman"/>
          <w:szCs w:val="24"/>
        </w:rPr>
        <w:t xml:space="preserve">Taiwan promulgated the </w:t>
      </w:r>
      <w:r w:rsidRPr="002153DE">
        <w:rPr>
          <w:rFonts w:ascii="Times New Roman" w:eastAsia="標楷體" w:hAnsi="Times New Roman" w:cs="Times New Roman"/>
          <w:iCs/>
          <w:szCs w:val="24"/>
        </w:rPr>
        <w:t xml:space="preserve">Directions for Attending or Hosting International Health </w:t>
      </w:r>
      <w:r w:rsidRPr="002153DE">
        <w:rPr>
          <w:rFonts w:ascii="Times New Roman" w:eastAsia="標楷體" w:hAnsi="Times New Roman" w:cs="Times New Roman"/>
          <w:iCs/>
          <w:szCs w:val="24"/>
        </w:rPr>
        <w:lastRenderedPageBreak/>
        <w:t>and Welfare Events with Donations and Subsidies</w:t>
      </w:r>
      <w:r w:rsidRPr="00885A57">
        <w:rPr>
          <w:rFonts w:ascii="Times New Roman" w:eastAsia="標楷體" w:hAnsi="Times New Roman" w:cs="Times New Roman"/>
          <w:szCs w:val="24"/>
        </w:rPr>
        <w:t xml:space="preserve"> from the MOHW to encourage relevant authorities, schools, and organizations to participate in international health affairs. By subsidizing attendance at seminars and event planning meetings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and their representative organizations (Table 32.2), the ministry can improve Taiwan’s health capacity and cultivate </w:t>
      </w:r>
      <w:r w:rsidR="00FF6BCF">
        <w:rPr>
          <w:rFonts w:ascii="Times New Roman" w:eastAsia="標楷體" w:hAnsi="Times New Roman" w:cs="Times New Roman"/>
          <w:szCs w:val="24"/>
        </w:rPr>
        <w:t xml:space="preserve">individuals skilled to deal with </w:t>
      </w:r>
      <w:r w:rsidRPr="00885A57">
        <w:rPr>
          <w:rFonts w:ascii="Times New Roman" w:eastAsia="標楷體" w:hAnsi="Times New Roman" w:cs="Times New Roman"/>
          <w:szCs w:val="24"/>
        </w:rPr>
        <w:t>international public health.</w:t>
      </w:r>
    </w:p>
    <w:p w14:paraId="45454076" w14:textId="53E34D17" w:rsidR="00947387" w:rsidRPr="00885A57" w:rsidRDefault="00C14DFD"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96" w:name="_Ref55917778"/>
      <w:r w:rsidRPr="00885A57">
        <w:rPr>
          <w:rFonts w:ascii="Times New Roman" w:eastAsia="標楷體" w:hAnsi="Times New Roman" w:cs="Times New Roman"/>
          <w:szCs w:val="24"/>
        </w:rPr>
        <w:t>Intending to engage in international exchange</w:t>
      </w:r>
      <w:r w:rsidR="00FF6BCF">
        <w:rPr>
          <w:rFonts w:ascii="Times New Roman" w:eastAsia="標楷體" w:hAnsi="Times New Roman" w:cs="Times New Roman"/>
          <w:szCs w:val="24"/>
        </w:rPr>
        <w:t>s</w:t>
      </w:r>
      <w:r w:rsidRPr="00885A57">
        <w:rPr>
          <w:rFonts w:ascii="Times New Roman" w:eastAsia="標楷體" w:hAnsi="Times New Roman" w:cs="Times New Roman"/>
          <w:szCs w:val="24"/>
        </w:rPr>
        <w:t xml:space="preserve"> and cooperation on issues related to people with disabilities, the MOHW is regularly present at the Rehabilitation International World Congress and the Asian Conference on Mental Retardation. In 2019, the ministry subsidized six DPOs to join government delegates in attending the 24th Asian Conference on Mental Retardation, and they won </w:t>
      </w:r>
      <w:r w:rsidR="00FF6BCF">
        <w:rPr>
          <w:rFonts w:ascii="Times New Roman" w:eastAsia="標楷體" w:hAnsi="Times New Roman" w:cs="Times New Roman"/>
          <w:szCs w:val="24"/>
        </w:rPr>
        <w:t xml:space="preserve">the right </w:t>
      </w:r>
      <w:r w:rsidRPr="00885A57">
        <w:rPr>
          <w:rFonts w:ascii="Times New Roman" w:eastAsia="標楷體" w:hAnsi="Times New Roman" w:cs="Times New Roman"/>
          <w:szCs w:val="24"/>
        </w:rPr>
        <w:t>to host the 2027 conference. In 2018, the MOHW subsidized social welfare organizations to hold the East Asia Disability Studies Forum as well as attend the Group of Friends on Disability Issues conferences in 2016 and 2017 convened by Asia-Pacific Economic Cooperation group members. In 2017 and 2018, the ministry subsidized people with disabilities and their representative organizations to visit Japan to study the assistive technologies in</w:t>
      </w:r>
      <w:r w:rsidR="00FF6BCF">
        <w:rPr>
          <w:rFonts w:ascii="Times New Roman" w:eastAsia="標楷體" w:hAnsi="Times New Roman" w:cs="Times New Roman"/>
          <w:szCs w:val="24"/>
        </w:rPr>
        <w:t xml:space="preserve"> use by the nation’s</w:t>
      </w:r>
      <w:r w:rsidRPr="00885A57">
        <w:rPr>
          <w:rFonts w:ascii="Times New Roman" w:eastAsia="標楷體" w:hAnsi="Times New Roman" w:cs="Times New Roman"/>
          <w:szCs w:val="24"/>
        </w:rPr>
        <w:t xml:space="preserve"> disabled welfare organizations, support and care for independent living, and resource integration.</w:t>
      </w:r>
      <w:bookmarkEnd w:id="196"/>
      <w:r w:rsidRPr="00885A57">
        <w:rPr>
          <w:rFonts w:ascii="Times New Roman" w:eastAsia="標楷體" w:hAnsi="Times New Roman" w:cs="Times New Roman"/>
          <w:vertAlign w:val="superscript"/>
        </w:rPr>
        <w:footnoteReference w:id="133"/>
      </w:r>
    </w:p>
    <w:p w14:paraId="5A34F601" w14:textId="3D01D579" w:rsidR="00B21541" w:rsidRPr="00885A57" w:rsidRDefault="00CF76AC" w:rsidP="0052448C">
      <w:pPr>
        <w:pStyle w:val="10"/>
        <w:spacing w:after="120" w:line="360" w:lineRule="auto"/>
        <w:rPr>
          <w:rFonts w:ascii="Times New Roman" w:hAnsi="Times New Roman"/>
        </w:rPr>
      </w:pPr>
      <w:bookmarkStart w:id="197" w:name="_Toc73108702"/>
      <w:bookmarkEnd w:id="82"/>
      <w:bookmarkEnd w:id="83"/>
      <w:bookmarkEnd w:id="84"/>
      <w:bookmarkEnd w:id="85"/>
      <w:bookmarkEnd w:id="86"/>
      <w:bookmarkEnd w:id="87"/>
      <w:bookmarkEnd w:id="88"/>
      <w:r w:rsidRPr="00885A57">
        <w:rPr>
          <w:rFonts w:ascii="Times New Roman" w:hAnsi="Times New Roman"/>
        </w:rPr>
        <w:t>Article 33</w:t>
      </w:r>
      <w:bookmarkStart w:id="198" w:name="_Toc55900622"/>
      <w:r w:rsidR="00085515" w:rsidRPr="00885A57">
        <w:rPr>
          <w:rFonts w:ascii="Times New Roman" w:hAnsi="Times New Roman"/>
        </w:rPr>
        <w:t xml:space="preserve">: </w:t>
      </w:r>
      <w:r w:rsidRPr="00885A57">
        <w:rPr>
          <w:rFonts w:ascii="Times New Roman" w:hAnsi="Times New Roman"/>
        </w:rPr>
        <w:t>National implementation and monitoring</w:t>
      </w:r>
      <w:bookmarkEnd w:id="197"/>
      <w:bookmarkEnd w:id="198"/>
    </w:p>
    <w:p w14:paraId="565C6767" w14:textId="5E05E668" w:rsidR="0059756B" w:rsidRPr="00885A57" w:rsidRDefault="00C14DFD" w:rsidP="0052448C">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199" w:name="_Ref55917812"/>
      <w:r w:rsidRPr="00885A57">
        <w:rPr>
          <w:rFonts w:ascii="Times New Roman" w:eastAsia="標楷體" w:hAnsi="Times New Roman" w:cs="Times New Roman"/>
          <w:szCs w:val="24"/>
        </w:rPr>
        <w:t xml:space="preserve">The central and local competent authorities </w:t>
      </w:r>
      <w:r w:rsidR="005754DB">
        <w:rPr>
          <w:rFonts w:ascii="Times New Roman" w:eastAsia="標楷體" w:hAnsi="Times New Roman" w:cs="Times New Roman"/>
          <w:szCs w:val="24"/>
        </w:rPr>
        <w:t xml:space="preserve">for </w:t>
      </w:r>
      <w:r w:rsidRPr="00885A57">
        <w:rPr>
          <w:rFonts w:ascii="Times New Roman" w:eastAsia="標楷體" w:hAnsi="Times New Roman" w:cs="Times New Roman"/>
          <w:szCs w:val="24"/>
        </w:rPr>
        <w:t xml:space="preserve">implementing CRPD are the </w:t>
      </w:r>
      <w:r w:rsidRPr="00885A57">
        <w:rPr>
          <w:rFonts w:ascii="Times New Roman" w:eastAsia="標楷體" w:hAnsi="Times New Roman" w:cs="Times New Roman"/>
          <w:szCs w:val="24"/>
        </w:rPr>
        <w:lastRenderedPageBreak/>
        <w:t xml:space="preserve">MOHW and local governments, respectively. </w:t>
      </w:r>
      <w:r w:rsidR="00FF6BCF">
        <w:rPr>
          <w:rFonts w:ascii="Times New Roman" w:eastAsia="標楷體" w:hAnsi="Times New Roman" w:cs="Times New Roman"/>
          <w:szCs w:val="24"/>
        </w:rPr>
        <w:t xml:space="preserve">These </w:t>
      </w:r>
      <w:r w:rsidRPr="00885A57">
        <w:rPr>
          <w:rFonts w:ascii="Times New Roman" w:eastAsia="標楷體" w:hAnsi="Times New Roman" w:cs="Times New Roman"/>
          <w:szCs w:val="24"/>
        </w:rPr>
        <w:t>authorities have established relevant committees per the CRPD, which are responsible for promoting disability policies. To implement policies and affairs in accordance with the CRPD, the MOHW employs specialists responsible for managing relevant affairs; case officers and their supervisors regularly attend awareness</w:t>
      </w:r>
      <w:r w:rsidR="001C70F6">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raising training regarding the rights of people with disabilities. The ministry continues </w:t>
      </w:r>
      <w:r w:rsidR="005754DB">
        <w:rPr>
          <w:rFonts w:ascii="Times New Roman" w:eastAsia="標楷體" w:hAnsi="Times New Roman" w:cs="Times New Roman"/>
          <w:szCs w:val="24"/>
        </w:rPr>
        <w:t xml:space="preserve">to provide funding and </w:t>
      </w:r>
      <w:r w:rsidRPr="00885A57">
        <w:rPr>
          <w:rFonts w:ascii="Times New Roman" w:eastAsia="標楷體" w:hAnsi="Times New Roman" w:cs="Times New Roman"/>
          <w:szCs w:val="24"/>
        </w:rPr>
        <w:t xml:space="preserve">to recruit professionals to serve as staff </w:t>
      </w:r>
      <w:r w:rsidR="005754DB">
        <w:rPr>
          <w:rFonts w:ascii="Times New Roman" w:eastAsia="標楷體" w:hAnsi="Times New Roman" w:cs="Times New Roman"/>
          <w:szCs w:val="24"/>
        </w:rPr>
        <w:t xml:space="preserve">members </w:t>
      </w:r>
      <w:r w:rsidRPr="00885A57">
        <w:rPr>
          <w:rFonts w:ascii="Times New Roman" w:eastAsia="標楷體" w:hAnsi="Times New Roman" w:cs="Times New Roman"/>
          <w:szCs w:val="24"/>
        </w:rPr>
        <w:t xml:space="preserve">of the Committee for the Promotion of the Rights of </w:t>
      </w:r>
      <w:r w:rsidR="00320208">
        <w:rPr>
          <w:rFonts w:ascii="Times New Roman" w:eastAsia="標楷體" w:hAnsi="Times New Roman" w:cs="Times New Roman"/>
          <w:szCs w:val="24"/>
        </w:rPr>
        <w:t>People</w:t>
      </w:r>
      <w:r w:rsidRPr="00885A57">
        <w:rPr>
          <w:rFonts w:ascii="Times New Roman" w:eastAsia="標楷體" w:hAnsi="Times New Roman" w:cs="Times New Roman"/>
          <w:szCs w:val="24"/>
        </w:rPr>
        <w:t xml:space="preserve"> with Disabilities (hereinafter referred to as CPRPD), Executive Yuan, and promoting</w:t>
      </w:r>
      <w:r w:rsidR="00FF6BCF">
        <w:rPr>
          <w:rFonts w:ascii="Times New Roman" w:eastAsia="標楷體" w:hAnsi="Times New Roman" w:cs="Times New Roman"/>
          <w:szCs w:val="24"/>
        </w:rPr>
        <w:t xml:space="preserve"> the</w:t>
      </w:r>
      <w:r w:rsidRPr="00885A57">
        <w:rPr>
          <w:rFonts w:ascii="Times New Roman" w:eastAsia="標楷體" w:hAnsi="Times New Roman" w:cs="Times New Roman"/>
          <w:szCs w:val="24"/>
        </w:rPr>
        <w:t xml:space="preserve"> CRPD.</w:t>
      </w:r>
      <w:bookmarkEnd w:id="199"/>
      <w:r w:rsidRPr="00885A57">
        <w:rPr>
          <w:rFonts w:ascii="Times New Roman" w:eastAsia="標楷體" w:hAnsi="Times New Roman" w:cs="Times New Roman"/>
          <w:vertAlign w:val="superscript"/>
        </w:rPr>
        <w:footnoteReference w:id="134"/>
      </w:r>
    </w:p>
    <w:p w14:paraId="09437D33" w14:textId="45F31433" w:rsidR="006D28FF" w:rsidRPr="00885A57" w:rsidRDefault="00C14DFD"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200" w:name="_Ref38307745"/>
      <w:r w:rsidRPr="00885A57">
        <w:rPr>
          <w:rFonts w:ascii="Times New Roman" w:eastAsia="標楷體" w:hAnsi="Times New Roman" w:cs="Times New Roman"/>
          <w:szCs w:val="24"/>
        </w:rPr>
        <w:t>The Executive Yuan’s CPRPD</w:t>
      </w:r>
      <w:r w:rsidR="00532BFA">
        <w:rPr>
          <w:rFonts w:ascii="Times New Roman" w:eastAsia="標楷體" w:hAnsi="Times New Roman" w:cs="Times New Roman"/>
          <w:szCs w:val="24"/>
        </w:rPr>
        <w:t xml:space="preserve">, </w:t>
      </w:r>
      <w:r w:rsidRPr="00885A57">
        <w:rPr>
          <w:rFonts w:ascii="Times New Roman" w:eastAsia="標楷體" w:hAnsi="Times New Roman" w:cs="Times New Roman"/>
          <w:szCs w:val="24"/>
        </w:rPr>
        <w:t xml:space="preserve">established pursuant to the </w:t>
      </w:r>
      <w:r w:rsidRPr="002153DE">
        <w:rPr>
          <w:rFonts w:ascii="Times New Roman" w:eastAsia="標楷體" w:hAnsi="Times New Roman" w:cs="Times New Roman"/>
          <w:iCs/>
          <w:szCs w:val="24"/>
        </w:rPr>
        <w:t>Act to Implement the Convention on the Rights of Persons with Disabilities</w:t>
      </w:r>
      <w:r w:rsidR="00532BFA">
        <w:rPr>
          <w:rFonts w:ascii="Times New Roman" w:eastAsia="標楷體" w:hAnsi="Times New Roman" w:cs="Times New Roman"/>
          <w:szCs w:val="24"/>
        </w:rPr>
        <w:t xml:space="preserve">, </w:t>
      </w:r>
      <w:r w:rsidRPr="00885A57">
        <w:rPr>
          <w:rFonts w:ascii="Times New Roman" w:eastAsia="標楷體" w:hAnsi="Times New Roman" w:cs="Times New Roman"/>
          <w:szCs w:val="24"/>
        </w:rPr>
        <w:t>is a cross</w:t>
      </w:r>
      <w:r w:rsidR="00FF6BCF">
        <w:rPr>
          <w:rFonts w:ascii="Times New Roman" w:eastAsia="標楷體" w:hAnsi="Times New Roman" w:cs="Times New Roman"/>
          <w:szCs w:val="24"/>
        </w:rPr>
        <w:t>-ministerial</w:t>
      </w:r>
      <w:r w:rsidRPr="00885A57">
        <w:rPr>
          <w:rFonts w:ascii="Times New Roman" w:eastAsia="標楷體" w:hAnsi="Times New Roman" w:cs="Times New Roman"/>
          <w:szCs w:val="24"/>
        </w:rPr>
        <w:t xml:space="preserve"> coordinator. Through regular meetings, research, review, and consultation</w:t>
      </w:r>
      <w:r w:rsidR="00FF6BCF">
        <w:rPr>
          <w:rFonts w:ascii="Times New Roman" w:eastAsia="標楷體" w:hAnsi="Times New Roman" w:cs="Times New Roman"/>
          <w:szCs w:val="24"/>
        </w:rPr>
        <w:t>s</w:t>
      </w:r>
      <w:r w:rsidRPr="00885A57">
        <w:rPr>
          <w:rFonts w:ascii="Times New Roman" w:eastAsia="標楷體" w:hAnsi="Times New Roman" w:cs="Times New Roman"/>
          <w:szCs w:val="24"/>
        </w:rPr>
        <w:t xml:space="preserve">, the committee is responsible for CRPD promotion and relevant training, supervision of CRPD implementation by all levels of authorities, preparation of </w:t>
      </w:r>
      <w:r w:rsidR="00FF6BCF">
        <w:rPr>
          <w:rFonts w:ascii="Times New Roman" w:eastAsia="標楷體" w:hAnsi="Times New Roman" w:cs="Times New Roman"/>
          <w:szCs w:val="24"/>
        </w:rPr>
        <w:t xml:space="preserve">a national </w:t>
      </w:r>
      <w:r w:rsidRPr="00885A57">
        <w:rPr>
          <w:rFonts w:ascii="Times New Roman" w:eastAsia="標楷體" w:hAnsi="Times New Roman" w:cs="Times New Roman"/>
          <w:szCs w:val="24"/>
        </w:rPr>
        <w:t>report, and handling of CRPD violation complaints and relevant matters. CRPD information is concurrently updated on Taiwan’s CRPD website for public</w:t>
      </w:r>
      <w:r w:rsidR="00FF6BCF">
        <w:rPr>
          <w:rFonts w:ascii="Times New Roman" w:eastAsia="標楷體" w:hAnsi="Times New Roman" w:cs="Times New Roman"/>
          <w:szCs w:val="24"/>
        </w:rPr>
        <w:t xml:space="preserve"> reference</w:t>
      </w:r>
      <w:r w:rsidRPr="00885A57">
        <w:rPr>
          <w:rFonts w:ascii="Times New Roman" w:eastAsia="標楷體" w:hAnsi="Times New Roman" w:cs="Times New Roman"/>
          <w:szCs w:val="24"/>
        </w:rPr>
        <w:t xml:space="preserve">. The Executive Yuan </w:t>
      </w:r>
      <w:r w:rsidRPr="002153DE">
        <w:rPr>
          <w:rFonts w:ascii="Times New Roman" w:eastAsia="標楷體" w:hAnsi="Times New Roman" w:cs="Times New Roman"/>
          <w:iCs/>
          <w:szCs w:val="24"/>
        </w:rPr>
        <w:t>Directions for the CPRPD in Handling Complaints of CRPD Violation</w:t>
      </w:r>
      <w:r w:rsidRPr="00885A57">
        <w:rPr>
          <w:rFonts w:ascii="Times New Roman" w:eastAsia="標楷體" w:hAnsi="Times New Roman" w:cs="Times New Roman"/>
          <w:szCs w:val="24"/>
        </w:rPr>
        <w:t xml:space="preserve"> were approved in June 2020, authorizing the committee to handle general matters </w:t>
      </w:r>
      <w:r w:rsidR="00FF6BCF">
        <w:rPr>
          <w:rFonts w:ascii="Times New Roman" w:eastAsia="標楷體" w:hAnsi="Times New Roman" w:cs="Times New Roman"/>
          <w:szCs w:val="24"/>
        </w:rPr>
        <w:t xml:space="preserve">pertaining to </w:t>
      </w:r>
      <w:r w:rsidRPr="00885A57">
        <w:rPr>
          <w:rFonts w:ascii="Times New Roman" w:eastAsia="標楷體" w:hAnsi="Times New Roman" w:cs="Times New Roman"/>
          <w:szCs w:val="24"/>
        </w:rPr>
        <w:t>CRPD violations with regard to existing regulations, policies</w:t>
      </w:r>
      <w:r w:rsidR="00FF6BCF">
        <w:rPr>
          <w:rFonts w:ascii="Times New Roman" w:eastAsia="標楷體" w:hAnsi="Times New Roman" w:cs="Times New Roman"/>
          <w:szCs w:val="24"/>
        </w:rPr>
        <w:t>,</w:t>
      </w:r>
      <w:r w:rsidRPr="00885A57">
        <w:rPr>
          <w:rFonts w:ascii="Times New Roman" w:eastAsia="標楷體" w:hAnsi="Times New Roman" w:cs="Times New Roman"/>
          <w:szCs w:val="24"/>
        </w:rPr>
        <w:t xml:space="preserve"> and systems.</w:t>
      </w:r>
      <w:bookmarkEnd w:id="200"/>
      <w:r w:rsidRPr="00885A57">
        <w:rPr>
          <w:rFonts w:ascii="Times New Roman" w:eastAsia="標楷體" w:hAnsi="Times New Roman" w:cs="Times New Roman"/>
        </w:rPr>
        <w:t xml:space="preserve"> </w:t>
      </w:r>
      <w:r w:rsidRPr="00885A57">
        <w:rPr>
          <w:rStyle w:val="ab"/>
          <w:rFonts w:ascii="Times New Roman" w:eastAsia="標楷體" w:hAnsi="Times New Roman" w:cs="Times New Roman"/>
        </w:rPr>
        <w:footnoteReference w:id="135"/>
      </w:r>
    </w:p>
    <w:p w14:paraId="54D23D7F" w14:textId="6FB5615E" w:rsidR="004C7D7A" w:rsidRPr="00885A57" w:rsidRDefault="00C14DFD" w:rsidP="0052448C">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201" w:name="_Ref55918064"/>
      <w:r w:rsidRPr="00885A57">
        <w:rPr>
          <w:rFonts w:ascii="Times New Roman" w:eastAsia="標楷體" w:hAnsi="Times New Roman" w:cs="Times New Roman"/>
          <w:szCs w:val="28"/>
        </w:rPr>
        <w:t xml:space="preserve">The CPRPDs established by </w:t>
      </w:r>
      <w:r w:rsidR="00E64191">
        <w:rPr>
          <w:rFonts w:ascii="Times New Roman" w:eastAsia="標楷體" w:hAnsi="Times New Roman" w:cs="Times New Roman"/>
          <w:szCs w:val="28"/>
        </w:rPr>
        <w:t xml:space="preserve">governments at all levels </w:t>
      </w:r>
      <w:r w:rsidRPr="00885A57">
        <w:rPr>
          <w:rFonts w:ascii="Times New Roman" w:eastAsia="標楷體" w:hAnsi="Times New Roman" w:cs="Times New Roman"/>
          <w:szCs w:val="28"/>
        </w:rPr>
        <w:t xml:space="preserve">allow people with </w:t>
      </w:r>
      <w:r w:rsidRPr="00885A57">
        <w:rPr>
          <w:rFonts w:ascii="Times New Roman" w:eastAsia="標楷體" w:hAnsi="Times New Roman" w:cs="Times New Roman"/>
          <w:szCs w:val="28"/>
        </w:rPr>
        <w:lastRenderedPageBreak/>
        <w:t xml:space="preserve">disabilities and their representative organizations to participate in supervision of relevant matters. At present, experts, scholars, and DPOs on any of such committees shall be no less than a certain </w:t>
      </w:r>
      <w:r w:rsidR="00FF6BCF">
        <w:rPr>
          <w:rFonts w:ascii="Times New Roman" w:eastAsia="標楷體" w:hAnsi="Times New Roman" w:cs="Times New Roman"/>
          <w:szCs w:val="28"/>
        </w:rPr>
        <w:t xml:space="preserve">quota </w:t>
      </w:r>
      <w:r w:rsidRPr="00885A57">
        <w:rPr>
          <w:rFonts w:ascii="Times New Roman" w:eastAsia="標楷體" w:hAnsi="Times New Roman" w:cs="Times New Roman"/>
          <w:szCs w:val="28"/>
        </w:rPr>
        <w:t>of the total number of the committee members,</w:t>
      </w:r>
      <w:r w:rsidRPr="00885A57">
        <w:rPr>
          <w:rFonts w:ascii="Times New Roman" w:eastAsia="標楷體" w:hAnsi="Times New Roman" w:cs="Times New Roman"/>
          <w:vertAlign w:val="superscript"/>
        </w:rPr>
        <w:footnoteReference w:id="136"/>
      </w:r>
      <w:r w:rsidRPr="00885A57">
        <w:rPr>
          <w:rFonts w:ascii="Times New Roman" w:eastAsia="標楷體" w:hAnsi="Times New Roman" w:cs="Times New Roman"/>
          <w:szCs w:val="28"/>
        </w:rPr>
        <w:t xml:space="preserve"> and each gender shall be no less than one</w:t>
      </w:r>
      <w:r w:rsidR="001C70F6">
        <w:rPr>
          <w:rFonts w:ascii="Times New Roman" w:eastAsia="標楷體" w:hAnsi="Times New Roman" w:cs="Times New Roman"/>
          <w:szCs w:val="28"/>
        </w:rPr>
        <w:t xml:space="preserve"> </w:t>
      </w:r>
      <w:r w:rsidRPr="00885A57">
        <w:rPr>
          <w:rFonts w:ascii="Times New Roman" w:eastAsia="標楷體" w:hAnsi="Times New Roman" w:cs="Times New Roman"/>
          <w:szCs w:val="28"/>
        </w:rPr>
        <w:t xml:space="preserve">third of the total number of committee members. To encourage DPOs to participate in supervision, the government continues </w:t>
      </w:r>
      <w:r w:rsidR="00FF6BCF">
        <w:rPr>
          <w:rFonts w:ascii="Times New Roman" w:eastAsia="標楷體" w:hAnsi="Times New Roman" w:cs="Times New Roman"/>
          <w:szCs w:val="28"/>
        </w:rPr>
        <w:t xml:space="preserve">to offer </w:t>
      </w:r>
      <w:r w:rsidRPr="00885A57">
        <w:rPr>
          <w:rFonts w:ascii="Times New Roman" w:eastAsia="標楷體" w:hAnsi="Times New Roman" w:cs="Times New Roman"/>
          <w:szCs w:val="28"/>
        </w:rPr>
        <w:t xml:space="preserve">subsidies, thereby providing resources </w:t>
      </w:r>
      <w:r w:rsidR="008374B1">
        <w:rPr>
          <w:rFonts w:ascii="Times New Roman" w:eastAsia="標楷體" w:hAnsi="Times New Roman" w:cs="Times New Roman"/>
          <w:szCs w:val="28"/>
        </w:rPr>
        <w:t xml:space="preserve">to advocate for the </w:t>
      </w:r>
      <w:r w:rsidRPr="00885A57">
        <w:rPr>
          <w:rFonts w:ascii="Times New Roman" w:eastAsia="標楷體" w:hAnsi="Times New Roman" w:cs="Times New Roman"/>
          <w:szCs w:val="28"/>
        </w:rPr>
        <w:t>rights of people with disabilities for people with disabilities and their representative organizations.</w:t>
      </w:r>
      <w:bookmarkEnd w:id="201"/>
      <w:r w:rsidRPr="00885A57">
        <w:rPr>
          <w:rStyle w:val="ab"/>
          <w:rFonts w:ascii="Times New Roman" w:eastAsia="標楷體" w:hAnsi="Times New Roman" w:cs="Times New Roman"/>
        </w:rPr>
        <w:footnoteReference w:id="137"/>
      </w:r>
    </w:p>
    <w:p w14:paraId="6CB91E82" w14:textId="36F30C15" w:rsidR="0027566C" w:rsidRPr="00885A57" w:rsidRDefault="00C14DFD" w:rsidP="001A2139">
      <w:pPr>
        <w:pStyle w:val="a7"/>
        <w:numPr>
          <w:ilvl w:val="0"/>
          <w:numId w:val="45"/>
        </w:numPr>
        <w:spacing w:after="120" w:line="360" w:lineRule="auto"/>
        <w:ind w:leftChars="0" w:left="567" w:hanging="567"/>
        <w:jc w:val="both"/>
        <w:rPr>
          <w:rFonts w:ascii="Times New Roman" w:eastAsia="標楷體" w:hAnsi="Times New Roman" w:cs="Times New Roman"/>
          <w:szCs w:val="24"/>
        </w:rPr>
      </w:pPr>
      <w:bookmarkStart w:id="202" w:name="_Ref55917889"/>
      <w:r w:rsidRPr="00885A57">
        <w:rPr>
          <w:rFonts w:ascii="Times New Roman" w:eastAsia="標楷體" w:hAnsi="Times New Roman" w:cs="Times New Roman"/>
          <w:szCs w:val="24"/>
        </w:rPr>
        <w:t xml:space="preserve">To strengthen the </w:t>
      </w:r>
      <w:r w:rsidR="008374B1">
        <w:rPr>
          <w:rFonts w:ascii="Times New Roman" w:eastAsia="標楷體" w:hAnsi="Times New Roman" w:cs="Times New Roman"/>
          <w:szCs w:val="24"/>
        </w:rPr>
        <w:t xml:space="preserve">ability of </w:t>
      </w:r>
      <w:r w:rsidRPr="00885A57">
        <w:rPr>
          <w:rFonts w:ascii="Times New Roman" w:eastAsia="標楷體" w:hAnsi="Times New Roman" w:cs="Times New Roman"/>
          <w:szCs w:val="24"/>
        </w:rPr>
        <w:t xml:space="preserve">the Control Yuan </w:t>
      </w:r>
      <w:r w:rsidR="008374B1">
        <w:rPr>
          <w:rFonts w:ascii="Times New Roman" w:eastAsia="標楷體" w:hAnsi="Times New Roman" w:cs="Times New Roman"/>
          <w:szCs w:val="24"/>
        </w:rPr>
        <w:t xml:space="preserve">to promote and safeguard </w:t>
      </w:r>
      <w:r w:rsidRPr="00885A57">
        <w:rPr>
          <w:rFonts w:ascii="Times New Roman" w:eastAsia="標楷體" w:hAnsi="Times New Roman" w:cs="Times New Roman"/>
          <w:szCs w:val="24"/>
        </w:rPr>
        <w:t>human rights, three bills</w:t>
      </w:r>
      <w:r w:rsidR="008374B1">
        <w:rPr>
          <w:rFonts w:ascii="Times New Roman" w:eastAsia="標楷體" w:hAnsi="Times New Roman" w:cs="Times New Roman"/>
          <w:szCs w:val="24"/>
        </w:rPr>
        <w:t>,</w:t>
      </w:r>
      <w:r w:rsidRPr="00885A57">
        <w:rPr>
          <w:rFonts w:ascii="Times New Roman" w:eastAsia="標楷體" w:hAnsi="Times New Roman" w:cs="Times New Roman"/>
          <w:szCs w:val="24"/>
        </w:rPr>
        <w:t xml:space="preserve"> including the </w:t>
      </w:r>
      <w:r w:rsidRPr="002153DE">
        <w:rPr>
          <w:rFonts w:ascii="Times New Roman" w:eastAsia="標楷體" w:hAnsi="Times New Roman" w:cs="Times New Roman"/>
          <w:iCs/>
          <w:szCs w:val="24"/>
        </w:rPr>
        <w:t>Organic Act of the Control Yuan National Human Rights Commission</w:t>
      </w:r>
      <w:r w:rsidR="008374B1">
        <w:rPr>
          <w:rFonts w:ascii="Times New Roman" w:eastAsia="標楷體" w:hAnsi="Times New Roman" w:cs="Times New Roman"/>
          <w:iCs/>
          <w:szCs w:val="24"/>
        </w:rPr>
        <w:t>,</w:t>
      </w:r>
      <w:r w:rsidRPr="00885A57">
        <w:rPr>
          <w:rFonts w:ascii="Times New Roman" w:eastAsia="標楷體" w:hAnsi="Times New Roman" w:cs="Times New Roman"/>
          <w:szCs w:val="24"/>
        </w:rPr>
        <w:t xml:space="preserve"> were passed and amended in December 2019. On August 1, 2020, the Control Yuan National Human Rights Commission was officially established. Among the seven ex officio members of this commission with diverse human rights expertise, two are representatives </w:t>
      </w:r>
      <w:r w:rsidR="008374B1">
        <w:rPr>
          <w:rFonts w:ascii="Times New Roman" w:eastAsia="標楷體" w:hAnsi="Times New Roman" w:cs="Times New Roman"/>
          <w:szCs w:val="24"/>
        </w:rPr>
        <w:t xml:space="preserve">from </w:t>
      </w:r>
      <w:r w:rsidRPr="00885A57">
        <w:rPr>
          <w:rFonts w:ascii="Times New Roman" w:eastAsia="標楷體" w:hAnsi="Times New Roman" w:cs="Times New Roman"/>
          <w:szCs w:val="24"/>
        </w:rPr>
        <w:t xml:space="preserve">the rights protection field for </w:t>
      </w:r>
      <w:r w:rsidRPr="00885A57">
        <w:rPr>
          <w:rFonts w:ascii="Times New Roman" w:eastAsia="標楷體" w:hAnsi="Times New Roman" w:cs="Times New Roman"/>
          <w:kern w:val="0"/>
          <w:szCs w:val="24"/>
        </w:rPr>
        <w:t>people</w:t>
      </w:r>
      <w:r w:rsidRPr="00885A57">
        <w:rPr>
          <w:rFonts w:ascii="Times New Roman" w:eastAsia="標楷體" w:hAnsi="Times New Roman" w:cs="Times New Roman"/>
          <w:szCs w:val="24"/>
        </w:rPr>
        <w:t xml:space="preserve"> with disabilities. The commission is divided into three divisions, namely research and planning, monitoring visits and operation, and education and exchange divisions, which are responsible for handling matters related to human rights protection of people with disabilities. In this way, the commission aims to fulfill the requirements of the Paris Principles and effectively monitor </w:t>
      </w:r>
      <w:r w:rsidRPr="00885A57">
        <w:rPr>
          <w:rFonts w:ascii="Times New Roman" w:eastAsia="標楷體" w:hAnsi="Times New Roman" w:cs="Times New Roman"/>
          <w:szCs w:val="24"/>
        </w:rPr>
        <w:lastRenderedPageBreak/>
        <w:t>government compliance with the CRPD.</w:t>
      </w:r>
      <w:bookmarkEnd w:id="202"/>
      <w:r w:rsidRPr="00885A57">
        <w:rPr>
          <w:rStyle w:val="ab"/>
          <w:rFonts w:ascii="Times New Roman" w:eastAsia="標楷體" w:hAnsi="Times New Roman" w:cs="Times New Roman"/>
        </w:rPr>
        <w:footnoteReference w:id="138"/>
      </w:r>
    </w:p>
    <w:p w14:paraId="47240837" w14:textId="77777777" w:rsidR="0027566C" w:rsidRPr="00885A57" w:rsidRDefault="0027566C" w:rsidP="001A2139">
      <w:pPr>
        <w:spacing w:line="360" w:lineRule="auto"/>
        <w:rPr>
          <w:rFonts w:ascii="Times New Roman" w:hAnsi="Times New Roman" w:cs="Times New Roman"/>
        </w:rPr>
      </w:pPr>
    </w:p>
    <w:sectPr w:rsidR="0027566C" w:rsidRPr="00885A57" w:rsidSect="000901A9">
      <w:pgSz w:w="11900" w:h="16840" w:code="9"/>
      <w:pgMar w:top="1418" w:right="1797" w:bottom="1270" w:left="1843" w:header="851" w:footer="68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9B4D9" w14:textId="77777777" w:rsidR="00BC35CA" w:rsidRDefault="00BC35CA" w:rsidP="00EB3E72">
      <w:r>
        <w:separator/>
      </w:r>
    </w:p>
  </w:endnote>
  <w:endnote w:type="continuationSeparator" w:id="0">
    <w:p w14:paraId="7DE54D3D" w14:textId="77777777" w:rsidR="00BC35CA" w:rsidRDefault="00BC35CA" w:rsidP="00EB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Microsoft JhengHei"/>
    <w:panose1 w:val="03000509000000000000"/>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CIDFont+F2">
    <w:altName w:val="MS Gothic"/>
    <w:panose1 w:val="00000000000000000000"/>
    <w:charset w:val="80"/>
    <w:family w:val="auto"/>
    <w:notTrueType/>
    <w:pitch w:val="default"/>
    <w:sig w:usb0="00000000" w:usb1="08070000" w:usb2="00000010" w:usb3="00000000" w:csb0="00020000" w:csb1="00000000"/>
  </w:font>
  <w:font w:name="BiauKai">
    <w:altName w:val="Malgun Gothic Semilight"/>
    <w:charset w:val="88"/>
    <w:family w:val="auto"/>
    <w:pitch w:val="variable"/>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2071" w14:textId="77777777" w:rsidR="001C09C5" w:rsidRDefault="001C09C5" w:rsidP="00576228">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52DF4A2B" w14:textId="77777777" w:rsidR="001C09C5" w:rsidRDefault="001C09C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A4B7" w14:textId="173AACDB" w:rsidR="001C09C5" w:rsidRPr="0098217A" w:rsidRDefault="001C09C5" w:rsidP="00FE5966">
    <w:pPr>
      <w:pStyle w:val="af1"/>
      <w:framePr w:w="611" w:wrap="around" w:vAnchor="text" w:hAnchor="margin" w:xAlign="center" w:y="5"/>
      <w:jc w:val="center"/>
      <w:rPr>
        <w:rStyle w:val="af7"/>
        <w:rFonts w:ascii="Times New Roman" w:hAnsi="Times New Roman" w:cs="Times New Roman"/>
        <w:sz w:val="24"/>
        <w:szCs w:val="24"/>
      </w:rPr>
    </w:pPr>
    <w:r w:rsidRPr="0098217A">
      <w:rPr>
        <w:rStyle w:val="af7"/>
        <w:rFonts w:ascii="Times New Roman" w:hAnsi="Times New Roman" w:cs="Times New Roman"/>
        <w:sz w:val="24"/>
        <w:szCs w:val="24"/>
      </w:rPr>
      <w:fldChar w:fldCharType="begin"/>
    </w:r>
    <w:r w:rsidRPr="0098217A">
      <w:rPr>
        <w:rStyle w:val="af7"/>
        <w:rFonts w:ascii="Times New Roman" w:hAnsi="Times New Roman" w:cs="Times New Roman"/>
        <w:sz w:val="24"/>
        <w:szCs w:val="24"/>
      </w:rPr>
      <w:instrText xml:space="preserve">PAGE  </w:instrText>
    </w:r>
    <w:r w:rsidRPr="0098217A">
      <w:rPr>
        <w:rStyle w:val="af7"/>
        <w:rFonts w:ascii="Times New Roman" w:hAnsi="Times New Roman" w:cs="Times New Roman"/>
        <w:sz w:val="24"/>
        <w:szCs w:val="24"/>
      </w:rPr>
      <w:fldChar w:fldCharType="separate"/>
    </w:r>
    <w:r w:rsidR="00F00A73">
      <w:rPr>
        <w:rStyle w:val="af7"/>
        <w:rFonts w:ascii="Times New Roman" w:hAnsi="Times New Roman" w:cs="Times New Roman"/>
        <w:noProof/>
        <w:sz w:val="24"/>
        <w:szCs w:val="24"/>
      </w:rPr>
      <w:t>1</w:t>
    </w:r>
    <w:r w:rsidRPr="0098217A">
      <w:rPr>
        <w:rStyle w:val="af7"/>
        <w:rFonts w:ascii="Times New Roman" w:hAnsi="Times New Roman" w:cs="Times New Roman"/>
        <w:sz w:val="24"/>
        <w:szCs w:val="24"/>
      </w:rPr>
      <w:fldChar w:fldCharType="end"/>
    </w:r>
  </w:p>
  <w:p w14:paraId="5A2FF4EB" w14:textId="77777777" w:rsidR="001C09C5" w:rsidRDefault="001C09C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D8522" w14:textId="77777777" w:rsidR="00BC35CA" w:rsidRDefault="00BC35CA" w:rsidP="00EB3E72">
      <w:r>
        <w:separator/>
      </w:r>
    </w:p>
  </w:footnote>
  <w:footnote w:type="continuationSeparator" w:id="0">
    <w:p w14:paraId="60B116D4" w14:textId="77777777" w:rsidR="00BC35CA" w:rsidRDefault="00BC35CA" w:rsidP="00EB3E72">
      <w:r>
        <w:continuationSeparator/>
      </w:r>
    </w:p>
  </w:footnote>
  <w:footnote w:id="1">
    <w:p w14:paraId="5EE01E76" w14:textId="6BA389B7" w:rsidR="001C09C5" w:rsidRPr="005A087C" w:rsidRDefault="001C09C5" w:rsidP="008C0370">
      <w:pPr>
        <w:pStyle w:val="a9"/>
        <w:ind w:left="142" w:hangingChars="71" w:hanging="142"/>
        <w:jc w:val="both"/>
        <w:rPr>
          <w:rFonts w:ascii="Times" w:eastAsia="標楷體" w:hAnsi="Times" w:cs="Times New Roman"/>
        </w:rPr>
      </w:pPr>
      <w:r w:rsidRPr="005A087C">
        <w:rPr>
          <w:rStyle w:val="ab"/>
          <w:rFonts w:ascii="Times" w:hAnsi="Times"/>
        </w:rPr>
        <w:footnoteRef/>
      </w:r>
      <w:r w:rsidRPr="005A087C">
        <w:rPr>
          <w:rFonts w:ascii="Times" w:hAnsi="Times"/>
        </w:rPr>
        <w:t xml:space="preserve"> The </w:t>
      </w:r>
      <w:r>
        <w:rPr>
          <w:rFonts w:ascii="Times" w:hAnsi="Times"/>
        </w:rPr>
        <w:t>SEA</w:t>
      </w:r>
      <w:r w:rsidRPr="005A087C">
        <w:rPr>
          <w:rFonts w:ascii="Times" w:hAnsi="Times"/>
        </w:rPr>
        <w:t xml:space="preserve"> was </w:t>
      </w:r>
      <w:r w:rsidRPr="008C0370">
        <w:rPr>
          <w:rFonts w:ascii="Times" w:hAnsi="Times"/>
        </w:rPr>
        <w:t>enacted to support appropriate education for individuals with learning disabilities, emotional disorders, and 11 other enumerated disabilities</w:t>
      </w:r>
      <w:r>
        <w:rPr>
          <w:rFonts w:ascii="Times" w:hAnsi="Times"/>
        </w:rPr>
        <w:t xml:space="preserve">. </w:t>
      </w:r>
      <w:r w:rsidRPr="008C0370">
        <w:rPr>
          <w:rFonts w:ascii="Times" w:hAnsi="Times"/>
        </w:rPr>
        <w:t>The LTSCA applies to individuals whose physical or mental incapacity has lasted or is expected to last for six months or longer. Individuals protected by these two acts are not limited to those holding</w:t>
      </w:r>
      <w:r w:rsidRPr="005A087C">
        <w:rPr>
          <w:rFonts w:ascii="Times" w:hAnsi="Times"/>
        </w:rPr>
        <w:t xml:space="preserve"> a disability ID. The term </w:t>
      </w:r>
      <w:r>
        <w:rPr>
          <w:rFonts w:ascii="Times" w:hAnsi="Times"/>
        </w:rPr>
        <w:t>“</w:t>
      </w:r>
      <w:r w:rsidRPr="005A087C">
        <w:rPr>
          <w:rFonts w:ascii="Times" w:hAnsi="Times"/>
        </w:rPr>
        <w:t>disabilities</w:t>
      </w:r>
      <w:r>
        <w:rPr>
          <w:rFonts w:ascii="Times" w:hAnsi="Times"/>
        </w:rPr>
        <w:t>”</w:t>
      </w:r>
      <w:r w:rsidRPr="005A087C">
        <w:rPr>
          <w:rFonts w:ascii="Times" w:hAnsi="Times"/>
        </w:rPr>
        <w:t xml:space="preserve"> also appears in the SEA, </w:t>
      </w:r>
      <w:r w:rsidRPr="002153DE">
        <w:rPr>
          <w:rFonts w:ascii="Times" w:hAnsi="Times"/>
          <w:iCs/>
        </w:rPr>
        <w:t>Act of Insurance for Military Personnel</w:t>
      </w:r>
      <w:r w:rsidRPr="005A087C">
        <w:rPr>
          <w:rFonts w:ascii="Times" w:hAnsi="Times"/>
        </w:rPr>
        <w:t xml:space="preserve">, </w:t>
      </w:r>
      <w:r w:rsidRPr="002153DE">
        <w:rPr>
          <w:rFonts w:ascii="Times" w:hAnsi="Times"/>
          <w:iCs/>
        </w:rPr>
        <w:t>Act of Military Service System</w:t>
      </w:r>
      <w:r w:rsidRPr="005A087C">
        <w:rPr>
          <w:rFonts w:ascii="Times" w:hAnsi="Times"/>
        </w:rPr>
        <w:t xml:space="preserve">, and </w:t>
      </w:r>
      <w:r w:rsidRPr="002153DE">
        <w:rPr>
          <w:rFonts w:ascii="Times" w:hAnsi="Times"/>
          <w:iCs/>
        </w:rPr>
        <w:t>Labor Standards Act</w:t>
      </w:r>
      <w:r w:rsidRPr="005A087C">
        <w:rPr>
          <w:rFonts w:ascii="Times" w:hAnsi="Times"/>
        </w:rPr>
        <w:t>, allowing people in need to apply for relevant services or benefits; these people are not limited to individuals holding the disability ID referenced in the PDRPA.</w:t>
      </w:r>
    </w:p>
  </w:footnote>
  <w:footnote w:id="2">
    <w:p w14:paraId="4836F47E" w14:textId="03CFC0C8" w:rsidR="001C09C5" w:rsidRPr="005A087C" w:rsidRDefault="001C09C5" w:rsidP="008C0370">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P</w:t>
      </w:r>
      <w:r w:rsidRPr="005A087C">
        <w:rPr>
          <w:rFonts w:ascii="Times" w:eastAsia="標楷體" w:hAnsi="Times" w:cs="Times New Roman"/>
        </w:rPr>
        <w:t>oints 2–4 respond to Points 10 and 11 in the Concluding Observations of the Initial Report of the Republic of China (Taiwan) on the CRPD.</w:t>
      </w:r>
    </w:p>
  </w:footnote>
  <w:footnote w:id="3">
    <w:p w14:paraId="1502C12A" w14:textId="5423646A" w:rsidR="001C09C5" w:rsidRPr="005A087C" w:rsidRDefault="001C09C5" w:rsidP="008C0370">
      <w:pPr>
        <w:pStyle w:val="a9"/>
        <w:ind w:left="142" w:hangingChars="71" w:hanging="142"/>
        <w:rPr>
          <w:rFonts w:ascii="Times" w:eastAsia="標楷體" w:hAnsi="Times" w:cs="Times New Roman"/>
          <w:color w:val="000000" w:themeColor="text1"/>
        </w:rPr>
      </w:pPr>
      <w:r w:rsidRPr="005A087C">
        <w:rPr>
          <w:rStyle w:val="ab"/>
          <w:rFonts w:ascii="Times" w:eastAsia="標楷體" w:hAnsi="Times" w:cs="Times New Roman"/>
          <w:color w:val="000000" w:themeColor="text1"/>
        </w:rPr>
        <w:footnoteRef/>
      </w:r>
      <w:r w:rsidRPr="005A087C">
        <w:rPr>
          <w:rFonts w:ascii="Times" w:eastAsia="標楷體" w:hAnsi="Times" w:cs="Times New Roman" w:hint="eastAsia"/>
          <w:color w:val="000000" w:themeColor="text1"/>
        </w:rPr>
        <w:t xml:space="preserve"> </w:t>
      </w:r>
      <w:r w:rsidRPr="008C0370">
        <w:rPr>
          <w:rFonts w:ascii="Times" w:eastAsia="標楷體" w:hAnsi="Times" w:cs="Times New Roman" w:hint="eastAsia"/>
        </w:rPr>
        <w:t>T</w:t>
      </w:r>
      <w:r w:rsidRPr="008C0370">
        <w:rPr>
          <w:rFonts w:ascii="Times" w:eastAsia="標楷體" w:hAnsi="Times" w:cs="Times New Roman"/>
        </w:rPr>
        <w:t>he needs assessment must be performed by personnel holding an academic degree in social work, special education, rehabilitation counseling, clinical and counselling psychology, or medical affairs and a certificate in assessment training; assessments are not performed by hospital personnel</w:t>
      </w:r>
      <w:r w:rsidRPr="005A087C">
        <w:rPr>
          <w:rFonts w:ascii="Times" w:eastAsia="標楷體" w:hAnsi="Times" w:cs="Times New Roman"/>
          <w:color w:val="000000" w:themeColor="text1"/>
        </w:rPr>
        <w:t>.</w:t>
      </w:r>
    </w:p>
  </w:footnote>
  <w:footnote w:id="4">
    <w:p w14:paraId="2A7ADDAE" w14:textId="66C6561F" w:rsidR="001C09C5" w:rsidRPr="005A087C" w:rsidRDefault="001C09C5" w:rsidP="008C0370">
      <w:pPr>
        <w:pStyle w:val="a9"/>
        <w:rPr>
          <w:rFonts w:ascii="Times" w:eastAsia="標楷體" w:hAnsi="Times" w:cs="Times New Roman"/>
          <w:color w:val="000000" w:themeColor="text1"/>
        </w:rPr>
      </w:pPr>
      <w:r w:rsidRPr="005A087C">
        <w:rPr>
          <w:rStyle w:val="ab"/>
          <w:rFonts w:ascii="Times" w:eastAsia="標楷體" w:hAnsi="Times" w:cs="Times New Roman"/>
          <w:color w:val="000000" w:themeColor="text1"/>
        </w:rPr>
        <w:footnoteRef/>
      </w:r>
      <w:r w:rsidRPr="005A087C">
        <w:rPr>
          <w:rFonts w:ascii="Times" w:eastAsia="標楷體" w:hAnsi="Times" w:cs="Times New Roman"/>
          <w:color w:val="000000" w:themeColor="text1"/>
        </w:rPr>
        <w:t xml:space="preserve"> Namely the </w:t>
      </w:r>
      <w:r w:rsidRPr="00BB3579">
        <w:rPr>
          <w:rFonts w:ascii="Times" w:eastAsia="標楷體" w:hAnsi="Times" w:cs="Times New Roman"/>
          <w:iCs/>
          <w:color w:val="000000" w:themeColor="text1"/>
        </w:rPr>
        <w:t>representative organizations of</w:t>
      </w:r>
      <w:r w:rsidRPr="00BB3579">
        <w:rPr>
          <w:rFonts w:ascii="Times" w:eastAsia="標楷體" w:hAnsi="Times" w:cs="Times New Roman" w:hint="eastAsia"/>
          <w:iCs/>
          <w:color w:val="000000" w:themeColor="text1"/>
        </w:rPr>
        <w:t xml:space="preserve"> </w:t>
      </w:r>
      <w:r w:rsidRPr="00BB3579">
        <w:rPr>
          <w:rFonts w:ascii="Times" w:eastAsia="標楷體" w:hAnsi="Times" w:cs="Times New Roman"/>
          <w:iCs/>
          <w:color w:val="000000" w:themeColor="text1"/>
        </w:rPr>
        <w:t>persons with disabilities</w:t>
      </w:r>
      <w:r w:rsidRPr="00BB3579">
        <w:rPr>
          <w:rFonts w:ascii="Times" w:eastAsia="標楷體" w:hAnsi="Times" w:cs="Times New Roman"/>
          <w:color w:val="000000" w:themeColor="text1"/>
        </w:rPr>
        <w:t xml:space="preserve"> </w:t>
      </w:r>
      <w:r w:rsidRPr="005A087C">
        <w:rPr>
          <w:rFonts w:ascii="Times" w:eastAsia="標楷體" w:hAnsi="Times" w:cs="Times New Roman"/>
          <w:color w:val="000000" w:themeColor="text1"/>
        </w:rPr>
        <w:t>in general comment No. 7 of the CRPD.</w:t>
      </w:r>
    </w:p>
  </w:footnote>
  <w:footnote w:id="5">
    <w:p w14:paraId="285CF9E3" w14:textId="0B94952C" w:rsidR="001C09C5" w:rsidRPr="005A087C" w:rsidRDefault="001C09C5" w:rsidP="008C0370">
      <w:pPr>
        <w:pStyle w:val="a9"/>
        <w:ind w:left="142" w:hangingChars="71" w:hanging="142"/>
        <w:jc w:val="both"/>
        <w:rPr>
          <w:rFonts w:ascii="Times" w:eastAsia="標楷體" w:hAnsi="Times"/>
        </w:rPr>
      </w:pPr>
      <w:r w:rsidRPr="005A087C">
        <w:rPr>
          <w:rStyle w:val="ab"/>
          <w:rFonts w:ascii="Times" w:eastAsia="標楷體" w:hAnsi="Times" w:cs="Times New Roman"/>
          <w:color w:val="000000" w:themeColor="text1"/>
        </w:rPr>
        <w:footnoteRef/>
      </w:r>
      <w:r w:rsidRPr="005A087C">
        <w:rPr>
          <w:rFonts w:ascii="Times" w:eastAsia="標楷體" w:hAnsi="Times" w:cs="Times New Roman"/>
          <w:color w:val="000000" w:themeColor="text1"/>
        </w:rPr>
        <w:t xml:space="preserve"> </w:t>
      </w:r>
      <w:r w:rsidRPr="005A087C">
        <w:rPr>
          <w:rFonts w:ascii="Times" w:eastAsia="標楷體" w:hAnsi="Times"/>
        </w:rPr>
        <w:t xml:space="preserve">The term </w:t>
      </w:r>
      <w:r>
        <w:rPr>
          <w:rFonts w:ascii="Times" w:eastAsia="標楷體" w:hAnsi="Times"/>
        </w:rPr>
        <w:t>“</w:t>
      </w:r>
      <w:r w:rsidRPr="005A087C">
        <w:rPr>
          <w:rFonts w:ascii="Times" w:eastAsia="標楷體" w:hAnsi="Times"/>
        </w:rPr>
        <w:t>children with disabilities</w:t>
      </w:r>
      <w:r>
        <w:rPr>
          <w:rFonts w:ascii="Times" w:eastAsia="標楷體" w:hAnsi="Times"/>
        </w:rPr>
        <w:t>”</w:t>
      </w:r>
      <w:r w:rsidRPr="005A087C">
        <w:rPr>
          <w:rFonts w:ascii="Times" w:eastAsia="標楷體" w:hAnsi="Times"/>
        </w:rPr>
        <w:t xml:space="preserve"> in Article 7 of the CRPD refers to persons with disabilities under the age of 18 years. However, the terms </w:t>
      </w:r>
      <w:r>
        <w:rPr>
          <w:rFonts w:ascii="Times" w:eastAsia="標楷體" w:hAnsi="Times"/>
        </w:rPr>
        <w:t>“</w:t>
      </w:r>
      <w:r w:rsidRPr="005A087C">
        <w:rPr>
          <w:rFonts w:ascii="Times" w:eastAsia="標楷體" w:hAnsi="Times"/>
        </w:rPr>
        <w:t>children</w:t>
      </w:r>
      <w:r>
        <w:rPr>
          <w:rFonts w:ascii="Times" w:eastAsia="標楷體" w:hAnsi="Times"/>
        </w:rPr>
        <w:t>”</w:t>
      </w:r>
      <w:r w:rsidRPr="005A087C">
        <w:rPr>
          <w:rFonts w:ascii="Times" w:eastAsia="標楷體" w:hAnsi="Times"/>
        </w:rPr>
        <w:t xml:space="preserve"> and </w:t>
      </w:r>
      <w:r>
        <w:rPr>
          <w:rFonts w:ascii="Times" w:eastAsia="標楷體" w:hAnsi="Times"/>
        </w:rPr>
        <w:t>“</w:t>
      </w:r>
      <w:r w:rsidRPr="005A087C">
        <w:rPr>
          <w:rFonts w:ascii="Times" w:eastAsia="標楷體" w:hAnsi="Times"/>
        </w:rPr>
        <w:t>youth</w:t>
      </w:r>
      <w:r>
        <w:rPr>
          <w:rFonts w:ascii="Times" w:eastAsia="標楷體" w:hAnsi="Times"/>
        </w:rPr>
        <w:t>,”</w:t>
      </w:r>
      <w:r w:rsidRPr="005A087C">
        <w:rPr>
          <w:rFonts w:ascii="Times" w:eastAsia="標楷體" w:hAnsi="Times"/>
        </w:rPr>
        <w:t xml:space="preserve"> per the </w:t>
      </w:r>
      <w:r w:rsidRPr="002153DE">
        <w:rPr>
          <w:rFonts w:ascii="Times" w:eastAsia="標楷體" w:hAnsi="Times"/>
          <w:iCs/>
        </w:rPr>
        <w:t>Protection of Children and Youth Welfare and Rights Act</w:t>
      </w:r>
      <w:r w:rsidRPr="005A087C">
        <w:rPr>
          <w:rFonts w:ascii="Times" w:eastAsia="標楷體" w:hAnsi="Times"/>
        </w:rPr>
        <w:t xml:space="preserve"> in Taiwan, refer to individuals aged &lt; 12 years and those aged 12–17 years, respectively. In this report, CYDs refers to persons with disabilities who are under 18 years of age (i.e., the </w:t>
      </w:r>
      <w:r>
        <w:rPr>
          <w:rFonts w:ascii="Times" w:eastAsia="標楷體" w:hAnsi="Times"/>
        </w:rPr>
        <w:t>“</w:t>
      </w:r>
      <w:r w:rsidRPr="005A087C">
        <w:rPr>
          <w:rFonts w:ascii="Times" w:eastAsia="標楷體" w:hAnsi="Times"/>
        </w:rPr>
        <w:t>children with disabilities</w:t>
      </w:r>
      <w:r>
        <w:rPr>
          <w:rFonts w:ascii="Times" w:eastAsia="標楷體" w:hAnsi="Times"/>
        </w:rPr>
        <w:t>”</w:t>
      </w:r>
      <w:r w:rsidRPr="005A087C">
        <w:rPr>
          <w:rFonts w:ascii="Times" w:eastAsia="標楷體" w:hAnsi="Times"/>
        </w:rPr>
        <w:t xml:space="preserve"> in Article 7 of the CRPD).</w:t>
      </w:r>
    </w:p>
  </w:footnote>
  <w:footnote w:id="6">
    <w:p w14:paraId="4E4CD228" w14:textId="4085CA25" w:rsidR="001C09C5" w:rsidRPr="005A087C" w:rsidRDefault="001C09C5" w:rsidP="00BE2B5B">
      <w:pPr>
        <w:pStyle w:val="a9"/>
        <w:jc w:val="both"/>
        <w:rPr>
          <w:rFonts w:ascii="Times" w:hAnsi="Times"/>
        </w:rPr>
      </w:pPr>
      <w:r w:rsidRPr="005A087C">
        <w:rPr>
          <w:rStyle w:val="ab"/>
          <w:rFonts w:ascii="Times" w:hAnsi="Times"/>
        </w:rPr>
        <w:footnoteRef/>
      </w:r>
      <w:r w:rsidRPr="005A087C">
        <w:rPr>
          <w:rFonts w:ascii="Times" w:hAnsi="Times"/>
        </w:rPr>
        <w:t xml:space="preserve"> </w:t>
      </w:r>
      <w:r w:rsidRPr="005A087C">
        <w:rPr>
          <w:rFonts w:ascii="Times" w:eastAsia="標楷體" w:hAnsi="Times" w:cs="Times New Roman"/>
        </w:rPr>
        <w:t>Respon</w:t>
      </w:r>
      <w:r>
        <w:rPr>
          <w:rFonts w:ascii="Times" w:eastAsia="標楷體" w:hAnsi="Times" w:cs="Times New Roman"/>
        </w:rPr>
        <w:t>ds</w:t>
      </w:r>
      <w:r w:rsidRPr="005A087C">
        <w:rPr>
          <w:rFonts w:ascii="Times" w:eastAsia="標楷體" w:hAnsi="Times" w:cs="Times New Roman"/>
        </w:rPr>
        <w:t xml:space="preserve"> to Points 8, 9, 14, 15, 22c, and 23c in the Concluding Observations of the Initial Report of the Republic of China (Taiwan) on the CRPD.</w:t>
      </w:r>
    </w:p>
  </w:footnote>
  <w:footnote w:id="7">
    <w:p w14:paraId="2C040617" w14:textId="5E2B7B38" w:rsidR="001C09C5" w:rsidRPr="005A087C" w:rsidRDefault="001C09C5" w:rsidP="00BE2B5B">
      <w:pPr>
        <w:pStyle w:val="a9"/>
        <w:tabs>
          <w:tab w:val="left" w:pos="6992"/>
        </w:tabs>
        <w:jc w:val="both"/>
        <w:rPr>
          <w:rStyle w:val="ab"/>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P</w:t>
      </w:r>
      <w:r w:rsidRPr="005A087C">
        <w:rPr>
          <w:rFonts w:ascii="Times" w:eastAsia="標楷體" w:hAnsi="Times" w:cs="Times New Roman"/>
        </w:rPr>
        <w:t>oints 7</w:t>
      </w:r>
      <w:r>
        <w:rPr>
          <w:rFonts w:ascii="Times" w:eastAsia="標楷體" w:hAnsi="Times" w:cs="Times New Roman"/>
        </w:rPr>
        <w:t>-</w:t>
      </w:r>
      <w:r w:rsidRPr="005A087C">
        <w:rPr>
          <w:rFonts w:ascii="Times" w:eastAsia="標楷體" w:hAnsi="Times" w:cs="Times New Roman"/>
        </w:rPr>
        <w:t>11 respond to Points 12 and 13 in the Concluding Observations of the Initial Report of the Republic of China (Taiwan) on the CRPD.</w:t>
      </w:r>
      <w:r w:rsidRPr="005A087C">
        <w:rPr>
          <w:rStyle w:val="ab"/>
          <w:rFonts w:ascii="Times" w:eastAsia="標楷體" w:hAnsi="Times" w:cs="Times New Roman"/>
        </w:rPr>
        <w:tab/>
      </w:r>
    </w:p>
  </w:footnote>
  <w:footnote w:id="8">
    <w:p w14:paraId="56AF5555" w14:textId="1CE9FE3F" w:rsidR="001C09C5" w:rsidRPr="005A087C" w:rsidRDefault="001C09C5" w:rsidP="00215775">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w:t>
      </w:r>
      <w:r>
        <w:rPr>
          <w:rFonts w:ascii="Times" w:eastAsia="標楷體" w:hAnsi="Times" w:cs="Times New Roman"/>
        </w:rPr>
        <w:t>ds</w:t>
      </w:r>
      <w:r w:rsidRPr="005A087C">
        <w:rPr>
          <w:rFonts w:ascii="Times" w:eastAsia="標楷體" w:hAnsi="Times" w:cs="Times New Roman"/>
        </w:rPr>
        <w:t xml:space="preserve"> to Points 20 and 21 in the Concluding Observations of the Initial Report of the Republic of China (Taiwan) on the CRPD.</w:t>
      </w:r>
    </w:p>
  </w:footnote>
  <w:footnote w:id="9">
    <w:p w14:paraId="194B838F" w14:textId="37FE6A7C" w:rsidR="001C09C5" w:rsidRPr="005A087C" w:rsidRDefault="001C09C5" w:rsidP="00215775">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Points 16 and 17 in the Concluding Observations of the Initial Report of the Republic of China (Taiwan) on the CRPD.</w:t>
      </w:r>
    </w:p>
  </w:footnote>
  <w:footnote w:id="10">
    <w:p w14:paraId="510851B2" w14:textId="6DF110CC" w:rsidR="001C09C5" w:rsidRPr="00B625E6" w:rsidRDefault="001C09C5" w:rsidP="00B27709">
      <w:pPr>
        <w:pStyle w:val="a9"/>
        <w:rPr>
          <w:rFonts w:ascii="Times" w:eastAsia="標楷體" w:hAnsi="Times" w:cs="Times New Roman"/>
          <w:color w:val="000000" w:themeColor="text1"/>
        </w:rPr>
      </w:pPr>
      <w:r w:rsidRPr="005A087C">
        <w:rPr>
          <w:rStyle w:val="ab"/>
          <w:rFonts w:ascii="Times" w:eastAsia="標楷體" w:hAnsi="Times" w:cs="Times New Roman"/>
        </w:rPr>
        <w:footnoteRef/>
      </w:r>
      <w:r w:rsidRPr="005A087C">
        <w:rPr>
          <w:rFonts w:ascii="Times" w:eastAsia="標楷體" w:hAnsi="Times" w:cs="Times New Roman"/>
        </w:rPr>
        <w:t xml:space="preserve"> </w:t>
      </w:r>
      <w:r w:rsidRPr="00B27709">
        <w:rPr>
          <w:rFonts w:ascii="Times" w:eastAsia="標楷體" w:hAnsi="Times" w:cs="Times New Roman"/>
        </w:rPr>
        <w:t xml:space="preserve">For example, </w:t>
      </w:r>
      <w:r>
        <w:rPr>
          <w:rFonts w:ascii="Times" w:eastAsia="標楷體" w:hAnsi="Times" w:cs="Times New Roman"/>
        </w:rPr>
        <w:t xml:space="preserve">subsidies </w:t>
      </w:r>
      <w:r w:rsidRPr="00B27709">
        <w:rPr>
          <w:rFonts w:ascii="Times" w:eastAsia="標楷體" w:hAnsi="Times" w:cs="Times New Roman"/>
        </w:rPr>
        <w:t>for rent or loan interest for people with disabilities to rent or purchase houses, maternity benefits, childcare allowance</w:t>
      </w:r>
      <w:r>
        <w:rPr>
          <w:rFonts w:ascii="Times" w:eastAsia="標楷體" w:hAnsi="Times" w:cs="Times New Roman"/>
        </w:rPr>
        <w:t>s,</w:t>
      </w:r>
      <w:r w:rsidRPr="00B27709">
        <w:rPr>
          <w:rFonts w:ascii="Times" w:eastAsia="標楷體" w:hAnsi="Times" w:cs="Times New Roman"/>
        </w:rPr>
        <w:t xml:space="preserve"> </w:t>
      </w:r>
      <w:r>
        <w:rPr>
          <w:rFonts w:ascii="Times" w:eastAsia="標楷體" w:hAnsi="Times" w:cs="Times New Roman"/>
        </w:rPr>
        <w:t>etc</w:t>
      </w:r>
      <w:r w:rsidRPr="00B27709">
        <w:rPr>
          <w:rFonts w:ascii="Times" w:eastAsia="標楷體" w:hAnsi="Times" w:cs="Times New Roman"/>
        </w:rPr>
        <w:t>.</w:t>
      </w:r>
    </w:p>
  </w:footnote>
  <w:footnote w:id="11">
    <w:p w14:paraId="73E40A85" w14:textId="3B319940" w:rsidR="001C09C5" w:rsidRPr="005A087C" w:rsidRDefault="001C09C5" w:rsidP="0087242E">
      <w:pPr>
        <w:pStyle w:val="a9"/>
        <w:rPr>
          <w:rFonts w:ascii="Times" w:eastAsia="標楷體" w:hAnsi="Times" w:cs="Times New Roman"/>
          <w:color w:val="000000" w:themeColor="text1"/>
        </w:rPr>
      </w:pPr>
      <w:r w:rsidRPr="005A087C">
        <w:rPr>
          <w:rStyle w:val="ab"/>
          <w:rFonts w:ascii="Times" w:eastAsia="標楷體" w:hAnsi="Times" w:cs="Times New Roman"/>
          <w:color w:val="000000" w:themeColor="text1"/>
        </w:rPr>
        <w:footnoteRef/>
      </w:r>
      <w:r w:rsidRPr="005A087C">
        <w:rPr>
          <w:rFonts w:ascii="Times" w:eastAsia="標楷體" w:hAnsi="Times" w:cs="Times New Roman"/>
          <w:color w:val="000000" w:themeColor="text1"/>
        </w:rPr>
        <w:t xml:space="preserve"> </w:t>
      </w:r>
      <w:r w:rsidRPr="005A087C">
        <w:rPr>
          <w:rFonts w:ascii="Times" w:eastAsia="標楷體" w:hAnsi="Times" w:cs="Times New Roman"/>
        </w:rPr>
        <w:t>Responds to Points 56c and 57c in the Concluding Observations of the Initial Report of the Republic of China (Taiwan) on the CRPD.</w:t>
      </w:r>
    </w:p>
  </w:footnote>
  <w:footnote w:id="12">
    <w:p w14:paraId="7B6EE121" w14:textId="78D0FD18" w:rsidR="001C09C5" w:rsidRPr="005A087C" w:rsidRDefault="001C09C5" w:rsidP="0087242E">
      <w:pPr>
        <w:pStyle w:val="a9"/>
        <w:rPr>
          <w:rFonts w:ascii="Times" w:eastAsia="標楷體" w:hAnsi="Times" w:cs="Times New Roman"/>
        </w:rPr>
      </w:pPr>
      <w:r w:rsidRPr="005A087C">
        <w:rPr>
          <w:rStyle w:val="ab"/>
          <w:rFonts w:ascii="Times" w:eastAsia="標楷體" w:hAnsi="Times" w:cs="Times New Roman"/>
          <w:color w:val="000000" w:themeColor="text1"/>
        </w:rPr>
        <w:footnoteRef/>
      </w:r>
      <w:r w:rsidRPr="005A087C">
        <w:rPr>
          <w:rFonts w:ascii="Times" w:eastAsia="標楷體" w:hAnsi="Times" w:cs="Times New Roman"/>
          <w:color w:val="000000" w:themeColor="text1"/>
        </w:rPr>
        <w:t xml:space="preserve"> </w:t>
      </w:r>
      <w:r w:rsidRPr="005A087C">
        <w:rPr>
          <w:rFonts w:ascii="Times" w:eastAsia="標楷體" w:hAnsi="Times" w:cs="Times New Roman"/>
        </w:rPr>
        <w:t>Responds to Points 18, 19, 66b, and 67b in the Concluding Observations of the Initial Report of the Republic of China (Taiwan) on the CRPD.</w:t>
      </w:r>
    </w:p>
  </w:footnote>
  <w:footnote w:id="13">
    <w:p w14:paraId="285392C5" w14:textId="541E62AF" w:rsidR="001C09C5" w:rsidRPr="005A087C" w:rsidRDefault="001C09C5" w:rsidP="003F3F40">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P</w:t>
      </w:r>
      <w:r w:rsidRPr="005A087C">
        <w:rPr>
          <w:rFonts w:ascii="Times" w:eastAsia="標楷體" w:hAnsi="Times" w:cs="Times New Roman"/>
        </w:rPr>
        <w:t>oints 17</w:t>
      </w:r>
      <w:r>
        <w:rPr>
          <w:rFonts w:ascii="Times" w:eastAsia="標楷體" w:hAnsi="Times" w:cs="Times New Roman"/>
        </w:rPr>
        <w:t>-</w:t>
      </w:r>
      <w:r w:rsidRPr="005A087C">
        <w:rPr>
          <w:rFonts w:ascii="Times" w:eastAsia="標楷體" w:hAnsi="Times" w:cs="Times New Roman"/>
        </w:rPr>
        <w:t>19 respond to Points 22a and 23a in the Concluding Observations of the Initial Report of the Republic of China (Taiwan) on the CRPD.</w:t>
      </w:r>
    </w:p>
    <w:p w14:paraId="293265BC" w14:textId="77777777" w:rsidR="001C09C5" w:rsidRPr="005A087C" w:rsidRDefault="001C09C5" w:rsidP="003F3F40">
      <w:pPr>
        <w:pStyle w:val="a9"/>
        <w:rPr>
          <w:rFonts w:ascii="Times" w:eastAsia="標楷體" w:hAnsi="Times" w:cs="Times New Roman"/>
        </w:rPr>
      </w:pPr>
    </w:p>
  </w:footnote>
  <w:footnote w:id="14">
    <w:p w14:paraId="2F7B2757" w14:textId="0656ED74" w:rsidR="001C09C5" w:rsidRPr="005A087C" w:rsidRDefault="001C09C5" w:rsidP="00AD79AD">
      <w:pPr>
        <w:pStyle w:val="a9"/>
        <w:ind w:left="268" w:hangingChars="134" w:hanging="268"/>
        <w:jc w:val="both"/>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hint="eastAsia"/>
        </w:rPr>
        <w:t xml:space="preserve"> T</w:t>
      </w:r>
      <w:r w:rsidRPr="005A087C">
        <w:rPr>
          <w:rFonts w:ascii="Times" w:eastAsia="標楷體" w:hAnsi="Times" w:cs="Times New Roman"/>
        </w:rPr>
        <w:t xml:space="preserve">he priority review list and second-stage review list revealed that 462 laws, regulations, and administrative measures required amendment; notification letters containing </w:t>
      </w:r>
      <w:r>
        <w:rPr>
          <w:rFonts w:ascii="Times" w:eastAsia="標楷體" w:hAnsi="Times" w:cs="Times New Roman"/>
        </w:rPr>
        <w:t xml:space="preserve">corresponding </w:t>
      </w:r>
      <w:r w:rsidRPr="005A087C">
        <w:rPr>
          <w:rFonts w:ascii="Times" w:eastAsia="標楷體" w:hAnsi="Times" w:cs="Times New Roman"/>
        </w:rPr>
        <w:t>measures and future amendment plans for those yet to be amended shall be sent to relevant authorities and made public in keeping with the intent of the CRPD. This point responds to Points 8, 9, 14, and 15 in the Concluding Observations of the Initial Report of the Republic of China (Taiwan) on the CRPD.</w:t>
      </w:r>
    </w:p>
  </w:footnote>
  <w:footnote w:id="15">
    <w:p w14:paraId="77EAF342" w14:textId="07EC4AAF" w:rsidR="001C09C5" w:rsidRPr="00AD79AD" w:rsidRDefault="001C09C5" w:rsidP="00AD79AD">
      <w:pPr>
        <w:pStyle w:val="a9"/>
        <w:ind w:left="252" w:hangingChars="126" w:hanging="252"/>
        <w:jc w:val="both"/>
        <w:rPr>
          <w:rFonts w:ascii="Times" w:eastAsia="標楷體" w:hAnsi="Times" w:cs="Times New Roman"/>
          <w:szCs w:val="24"/>
        </w:rPr>
      </w:pPr>
      <w:r w:rsidRPr="005A087C">
        <w:rPr>
          <w:rStyle w:val="ab"/>
          <w:rFonts w:ascii="Times" w:hAnsi="Times" w:cs="Times New Roman"/>
        </w:rPr>
        <w:footnoteRef/>
      </w:r>
      <w:r w:rsidRPr="005A087C">
        <w:rPr>
          <w:rFonts w:ascii="Times" w:eastAsia="標楷體" w:hAnsi="Times" w:cs="Times New Roman"/>
          <w:color w:val="000000" w:themeColor="text1"/>
          <w:szCs w:val="24"/>
        </w:rPr>
        <w:t xml:space="preserve"> </w:t>
      </w:r>
      <w:r w:rsidRPr="005A087C">
        <w:rPr>
          <w:rFonts w:ascii="Times" w:eastAsia="標楷體" w:hAnsi="Times" w:cs="Times New Roman"/>
          <w:szCs w:val="24"/>
        </w:rPr>
        <w:t xml:space="preserve">For records and statistics compiled by the Control Yuan concerning the </w:t>
      </w:r>
      <w:r w:rsidRPr="00AD79AD">
        <w:rPr>
          <w:rFonts w:ascii="Times" w:eastAsia="標楷體" w:hAnsi="Times" w:cs="Times New Roman"/>
          <w:szCs w:val="24"/>
        </w:rPr>
        <w:t xml:space="preserve">rights of </w:t>
      </w:r>
      <w:r w:rsidRPr="00AD79AD">
        <w:rPr>
          <w:rFonts w:ascii="Times New Roman" w:eastAsia="標楷體" w:hAnsi="Times New Roman" w:cs="Times New Roman"/>
          <w:szCs w:val="24"/>
        </w:rPr>
        <w:t>people</w:t>
      </w:r>
      <w:r w:rsidRPr="00AD79AD">
        <w:rPr>
          <w:rFonts w:ascii="Times" w:eastAsia="標楷體" w:hAnsi="Times" w:cs="Times New Roman"/>
          <w:szCs w:val="24"/>
        </w:rPr>
        <w:t xml:space="preserve"> with disabilities, please click </w:t>
      </w:r>
      <w:r>
        <w:rPr>
          <w:rFonts w:ascii="Times" w:eastAsia="標楷體" w:hAnsi="Times" w:cs="Times New Roman"/>
          <w:szCs w:val="24"/>
        </w:rPr>
        <w:t>“</w:t>
      </w:r>
      <w:r w:rsidRPr="00AD79AD">
        <w:rPr>
          <w:rFonts w:ascii="Times" w:eastAsia="標楷體" w:hAnsi="Times" w:cs="Times New Roman"/>
          <w:szCs w:val="24"/>
        </w:rPr>
        <w:t>Results of control power exercise</w:t>
      </w:r>
      <w:r>
        <w:rPr>
          <w:rFonts w:ascii="Times" w:eastAsia="標楷體" w:hAnsi="Times" w:cs="Times New Roman"/>
          <w:szCs w:val="24"/>
        </w:rPr>
        <w:t>”</w:t>
      </w:r>
      <w:r w:rsidRPr="00AD79AD">
        <w:rPr>
          <w:rFonts w:ascii="Times" w:eastAsia="標楷體" w:hAnsi="Times" w:cs="Times New Roman"/>
          <w:szCs w:val="24"/>
        </w:rPr>
        <w:t xml:space="preserve"> on the official website of the Control </w:t>
      </w:r>
      <w:r w:rsidRPr="005A087C">
        <w:rPr>
          <w:rFonts w:ascii="Times" w:eastAsia="標楷體" w:hAnsi="Times" w:cs="Times New Roman"/>
          <w:szCs w:val="24"/>
        </w:rPr>
        <w:t xml:space="preserve">Yuan (https://www.cy.gov.tw/cl.aspx?n=132), or </w:t>
      </w:r>
      <w:r>
        <w:rPr>
          <w:rFonts w:ascii="Times" w:eastAsia="標楷體" w:hAnsi="Times" w:cs="Times New Roman"/>
          <w:szCs w:val="24"/>
        </w:rPr>
        <w:t>“</w:t>
      </w:r>
      <w:r w:rsidRPr="005A087C">
        <w:rPr>
          <w:rFonts w:ascii="Times" w:eastAsia="標楷體" w:hAnsi="Times" w:cs="Times New Roman"/>
          <w:szCs w:val="24"/>
        </w:rPr>
        <w:t>Investigation reports</w:t>
      </w:r>
      <w:r>
        <w:rPr>
          <w:rFonts w:ascii="Times" w:eastAsia="標楷體" w:hAnsi="Times" w:cs="Times New Roman"/>
          <w:szCs w:val="24"/>
        </w:rPr>
        <w:t>”</w:t>
      </w:r>
      <w:r w:rsidRPr="005A087C">
        <w:rPr>
          <w:rFonts w:ascii="Times" w:eastAsia="標楷體" w:hAnsi="Times" w:cs="Times New Roman"/>
          <w:szCs w:val="24"/>
        </w:rPr>
        <w:t xml:space="preserve"> (</w:t>
      </w:r>
      <w:r w:rsidRPr="005A087C">
        <w:rPr>
          <w:rFonts w:ascii="Times" w:eastAsia="標楷體" w:hAnsi="Times" w:cs="Times New Roman" w:hint="eastAsia"/>
          <w:szCs w:val="24"/>
        </w:rPr>
        <w:t>https://humanrights.cy.gov.tw/HumanRightsTreaties.aspx?n=340&amp;sms=0</w:t>
      </w:r>
      <w:r w:rsidRPr="005A087C">
        <w:rPr>
          <w:rFonts w:ascii="Times" w:eastAsia="標楷體" w:hAnsi="Times" w:cs="Times New Roman"/>
          <w:szCs w:val="24"/>
        </w:rPr>
        <w:t xml:space="preserve">) and </w:t>
      </w:r>
      <w:r>
        <w:rPr>
          <w:rFonts w:ascii="Times" w:eastAsia="標楷體" w:hAnsi="Times" w:cs="Times New Roman"/>
          <w:szCs w:val="24"/>
        </w:rPr>
        <w:t>“</w:t>
      </w:r>
      <w:r w:rsidRPr="005A087C">
        <w:rPr>
          <w:rFonts w:ascii="Times" w:eastAsia="標楷體" w:hAnsi="Times" w:cs="Times New Roman"/>
          <w:szCs w:val="24"/>
        </w:rPr>
        <w:t>Statistics of human rights investigations</w:t>
      </w:r>
      <w:r>
        <w:rPr>
          <w:rFonts w:ascii="Times" w:eastAsia="標楷體" w:hAnsi="Times" w:cs="Times New Roman"/>
          <w:szCs w:val="24"/>
        </w:rPr>
        <w:t>”</w:t>
      </w:r>
      <w:r w:rsidRPr="005A087C">
        <w:rPr>
          <w:rFonts w:ascii="Times" w:eastAsia="標楷體" w:hAnsi="Times" w:cs="Times New Roman"/>
          <w:szCs w:val="24"/>
        </w:rPr>
        <w:t xml:space="preserve"> (</w:t>
      </w:r>
      <w:r w:rsidRPr="005A087C">
        <w:rPr>
          <w:rFonts w:ascii="Times" w:eastAsia="標楷體" w:hAnsi="Times" w:cs="Times New Roman" w:hint="eastAsia"/>
          <w:szCs w:val="24"/>
        </w:rPr>
        <w:t>https://humanrights.cy.gov.tw/News.aspx?n=354&amp;sms=90</w:t>
      </w:r>
      <w:r w:rsidRPr="005A087C">
        <w:rPr>
          <w:rFonts w:ascii="Times" w:eastAsia="標楷體" w:hAnsi="Times" w:cs="Times New Roman"/>
          <w:szCs w:val="24"/>
        </w:rPr>
        <w:t xml:space="preserve">) (under the </w:t>
      </w:r>
      <w:r>
        <w:rPr>
          <w:rFonts w:ascii="Times" w:eastAsia="標楷體" w:hAnsi="Times" w:cs="Times New Roman"/>
          <w:szCs w:val="24"/>
        </w:rPr>
        <w:t>“</w:t>
      </w:r>
      <w:r w:rsidRPr="005A087C">
        <w:rPr>
          <w:rFonts w:ascii="Times" w:eastAsia="標楷體" w:hAnsi="Times" w:cs="Times New Roman"/>
          <w:szCs w:val="24"/>
        </w:rPr>
        <w:t>Reports</w:t>
      </w:r>
      <w:r>
        <w:rPr>
          <w:rFonts w:ascii="Times" w:eastAsia="標楷體" w:hAnsi="Times" w:cs="Times New Roman"/>
          <w:szCs w:val="24"/>
        </w:rPr>
        <w:t>”</w:t>
      </w:r>
      <w:r w:rsidRPr="005A087C">
        <w:rPr>
          <w:rFonts w:ascii="Times" w:eastAsia="標楷體" w:hAnsi="Times" w:cs="Times New Roman"/>
          <w:szCs w:val="24"/>
        </w:rPr>
        <w:t xml:space="preserve"> tab) on the official website of the Human Rights </w:t>
      </w:r>
      <w:r>
        <w:rPr>
          <w:rFonts w:ascii="Times" w:eastAsia="標楷體" w:hAnsi="Times" w:cs="Times New Roman"/>
          <w:szCs w:val="24"/>
        </w:rPr>
        <w:t>Commission</w:t>
      </w:r>
      <w:r w:rsidRPr="005A087C">
        <w:rPr>
          <w:rFonts w:ascii="Times" w:eastAsia="標楷體" w:hAnsi="Times" w:cs="Times New Roman"/>
          <w:szCs w:val="24"/>
        </w:rPr>
        <w:t>.</w:t>
      </w:r>
    </w:p>
  </w:footnote>
  <w:footnote w:id="16">
    <w:p w14:paraId="3EB889AE" w14:textId="0EF9CF81" w:rsidR="001C09C5" w:rsidRPr="005A087C" w:rsidRDefault="001C09C5" w:rsidP="00AD79AD">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hint="eastAsia"/>
        </w:rPr>
        <w:t xml:space="preserve"> P</w:t>
      </w:r>
      <w:r w:rsidRPr="005A087C">
        <w:rPr>
          <w:rFonts w:ascii="Times" w:eastAsia="標楷體" w:hAnsi="Times" w:cs="Times New Roman"/>
        </w:rPr>
        <w:t>oints 22</w:t>
      </w:r>
      <w:r>
        <w:rPr>
          <w:rFonts w:ascii="Times" w:eastAsia="標楷體" w:hAnsi="Times" w:cs="Times New Roman"/>
        </w:rPr>
        <w:t>-</w:t>
      </w:r>
      <w:r w:rsidRPr="005A087C">
        <w:rPr>
          <w:rFonts w:ascii="Times" w:eastAsia="標楷體" w:hAnsi="Times" w:cs="Times New Roman"/>
        </w:rPr>
        <w:t>26 respond to Points 22b and 23b in the Concluding Observations of the Initial Report of the Republic of China (Taiwan) on the CRPD.</w:t>
      </w:r>
    </w:p>
  </w:footnote>
  <w:footnote w:id="17">
    <w:p w14:paraId="17FD1B24" w14:textId="0AB96953" w:rsidR="001C09C5" w:rsidRPr="00AD79AD" w:rsidRDefault="001C09C5" w:rsidP="00AD79AD">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R</w:t>
      </w:r>
      <w:r w:rsidRPr="005A087C">
        <w:rPr>
          <w:rFonts w:ascii="Times" w:eastAsia="標楷體" w:hAnsi="Times" w:cs="Times New Roman"/>
        </w:rPr>
        <w:t>esponds to Points 44c and 45c in the Concluding Observations of the Initial State Report on the CRPD.</w:t>
      </w:r>
    </w:p>
  </w:footnote>
  <w:footnote w:id="18">
    <w:p w14:paraId="70F22C08" w14:textId="56B8D8F9" w:rsidR="001C09C5" w:rsidRPr="005A087C" w:rsidRDefault="001C09C5" w:rsidP="00AD79AD">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hint="eastAsia"/>
        </w:rPr>
        <w:t xml:space="preserve"> </w:t>
      </w:r>
      <w:r w:rsidRPr="005A087C">
        <w:rPr>
          <w:rFonts w:ascii="Times" w:eastAsia="標楷體" w:hAnsi="Times" w:cs="Times New Roman"/>
        </w:rPr>
        <w:t xml:space="preserve">Points 27 and 28 respond to Points 22c and 23c in the Concluding Observations of the Initial Report </w:t>
      </w:r>
      <w:r w:rsidRPr="005A087C">
        <w:rPr>
          <w:rFonts w:ascii="Times" w:eastAsia="標楷體" w:hAnsi="Times" w:cs="Times New Roman" w:hint="eastAsia"/>
        </w:rPr>
        <w:t>o</w:t>
      </w:r>
      <w:r w:rsidRPr="005A087C">
        <w:rPr>
          <w:rFonts w:ascii="Times" w:eastAsia="標楷體" w:hAnsi="Times" w:cs="Times New Roman"/>
        </w:rPr>
        <w:t>f the Republic of China (Taiwan) on the CRPD.</w:t>
      </w:r>
    </w:p>
  </w:footnote>
  <w:footnote w:id="19">
    <w:p w14:paraId="073AA86A" w14:textId="0C68A931" w:rsidR="001C09C5" w:rsidRPr="005A087C" w:rsidRDefault="001C09C5" w:rsidP="00AD79AD">
      <w:pPr>
        <w:pStyle w:val="a9"/>
        <w:rPr>
          <w:rFonts w:ascii="Times" w:eastAsia="標楷體" w:hAnsi="Times" w:cs="Times New Roman"/>
          <w:color w:val="000000" w:themeColor="text1"/>
        </w:rPr>
      </w:pPr>
      <w:r w:rsidRPr="005A087C">
        <w:rPr>
          <w:rStyle w:val="ab"/>
          <w:rFonts w:ascii="Times" w:hAnsi="Times"/>
        </w:rPr>
        <w:footnoteRef/>
      </w:r>
      <w:r w:rsidRPr="005A087C">
        <w:rPr>
          <w:rFonts w:ascii="Times" w:eastAsia="標楷體" w:hAnsi="Times" w:cs="Times New Roman" w:hint="eastAsia"/>
        </w:rPr>
        <w:t xml:space="preserve"> </w:t>
      </w:r>
      <w:r w:rsidRPr="005A087C">
        <w:rPr>
          <w:rFonts w:ascii="Times" w:eastAsia="標楷體" w:hAnsi="Times" w:cs="Times New Roman" w:hint="eastAsia"/>
          <w:color w:val="000000" w:themeColor="text1"/>
        </w:rPr>
        <w:t>R</w:t>
      </w:r>
      <w:r w:rsidRPr="005A087C">
        <w:rPr>
          <w:rFonts w:ascii="Times" w:eastAsia="標楷體" w:hAnsi="Times" w:cs="Times New Roman"/>
          <w:color w:val="000000" w:themeColor="text1"/>
        </w:rPr>
        <w:t xml:space="preserve">esponds to </w:t>
      </w:r>
      <w:r w:rsidRPr="005A087C">
        <w:rPr>
          <w:rFonts w:ascii="Times" w:eastAsia="標楷體" w:hAnsi="Times" w:cs="Times New Roman"/>
        </w:rPr>
        <w:t>Points 68e and 69e in the Concluding Observations of the Initial Report of the Republic of China (Taiwan) on the CRPD.</w:t>
      </w:r>
    </w:p>
  </w:footnote>
  <w:footnote w:id="20">
    <w:p w14:paraId="5B7D646F" w14:textId="209A369F" w:rsidR="001C09C5" w:rsidRPr="005A087C" w:rsidRDefault="001C09C5" w:rsidP="00D6054B">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Responds to</w:t>
      </w:r>
      <w:r w:rsidRPr="005A087C">
        <w:rPr>
          <w:rFonts w:ascii="Times" w:eastAsia="標楷體" w:hAnsi="Times" w:cs="Times New Roman"/>
        </w:rPr>
        <w:t xml:space="preserve"> Points 24</w:t>
      </w:r>
      <w:r>
        <w:rPr>
          <w:rFonts w:ascii="Times" w:eastAsia="標楷體" w:hAnsi="Times" w:cs="Times New Roman"/>
        </w:rPr>
        <w:t>-</w:t>
      </w:r>
      <w:r w:rsidRPr="005A087C">
        <w:rPr>
          <w:rFonts w:ascii="Times" w:eastAsia="標楷體" w:hAnsi="Times" w:cs="Times New Roman"/>
        </w:rPr>
        <w:t>27 in the Concluding Observations of the Initial Report of the Republic of China (Taiwan) on the CRPD.</w:t>
      </w:r>
    </w:p>
  </w:footnote>
  <w:footnote w:id="21">
    <w:p w14:paraId="555A3029" w14:textId="11A6D69A" w:rsidR="001C09C5" w:rsidRPr="005A087C" w:rsidRDefault="001C09C5" w:rsidP="00296490">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Students with disabilities who are recognized by the SEA are not limited to those validated pursuant to an ICF assessment. </w:t>
      </w:r>
    </w:p>
  </w:footnote>
  <w:footnote w:id="22">
    <w:p w14:paraId="0361B1FE" w14:textId="0F5B830A" w:rsidR="001C09C5" w:rsidRPr="004B7217" w:rsidRDefault="001C09C5" w:rsidP="001C387D">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Responds to</w:t>
      </w:r>
      <w:r w:rsidRPr="005A087C">
        <w:rPr>
          <w:rFonts w:ascii="Times" w:eastAsia="標楷體" w:hAnsi="Times" w:cs="Times New Roman"/>
        </w:rPr>
        <w:t xml:space="preserve"> Points 24 and 25 in the Concluding Observations of the Initial Report of the Republic of China (Taiwan) on the CRPD.</w:t>
      </w:r>
    </w:p>
  </w:footnote>
  <w:footnote w:id="23">
    <w:p w14:paraId="14D57B43" w14:textId="68B90D61" w:rsidR="001C09C5" w:rsidRPr="004B7217" w:rsidRDefault="001C09C5" w:rsidP="004B7217">
      <w:pPr>
        <w:pStyle w:val="a9"/>
        <w:rPr>
          <w:rFonts w:ascii="Times" w:eastAsia="標楷體" w:hAnsi="Times" w:cs="Times New Roman"/>
        </w:rPr>
      </w:pPr>
      <w:r w:rsidRPr="005A087C">
        <w:rPr>
          <w:rStyle w:val="ab"/>
          <w:rFonts w:ascii="Times" w:hAnsi="Times"/>
        </w:rPr>
        <w:footnoteRef/>
      </w:r>
      <w:r w:rsidRPr="005A087C">
        <w:rPr>
          <w:rFonts w:ascii="Times" w:hAnsi="Times"/>
        </w:rPr>
        <w:t xml:space="preserve"> </w:t>
      </w:r>
      <w:r w:rsidRPr="005A087C">
        <w:rPr>
          <w:rFonts w:ascii="Times" w:eastAsia="標楷體" w:hAnsi="Times" w:cs="Times New Roman" w:hint="eastAsia"/>
        </w:rPr>
        <w:t>Responds to</w:t>
      </w:r>
      <w:r w:rsidRPr="005A087C">
        <w:rPr>
          <w:rFonts w:ascii="Times" w:eastAsia="標楷體" w:hAnsi="Times" w:cs="Times New Roman"/>
        </w:rPr>
        <w:t xml:space="preserve"> Points 24, 25, 68a, and 69a in the Concluding Observations of the Initial Report of the Republic of China (Taiwan) on the CRPD.</w:t>
      </w:r>
    </w:p>
  </w:footnote>
  <w:footnote w:id="24">
    <w:p w14:paraId="4BDA8C77" w14:textId="572E326C" w:rsidR="001C09C5" w:rsidRPr="005A087C" w:rsidRDefault="001C09C5" w:rsidP="004B7217">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P</w:t>
      </w:r>
      <w:r w:rsidRPr="005A087C">
        <w:rPr>
          <w:rFonts w:ascii="Times" w:eastAsia="標楷體" w:hAnsi="Times" w:cs="Times New Roman"/>
        </w:rPr>
        <w:t>oints 39</w:t>
      </w:r>
      <w:r>
        <w:rPr>
          <w:rFonts w:ascii="Times" w:eastAsia="標楷體" w:hAnsi="Times" w:cs="Times New Roman"/>
        </w:rPr>
        <w:t>-</w:t>
      </w:r>
      <w:r w:rsidRPr="005A087C">
        <w:rPr>
          <w:rFonts w:ascii="Times" w:eastAsia="標楷體" w:hAnsi="Times" w:cs="Times New Roman"/>
        </w:rPr>
        <w:t>41 respond to Points 28a and 29a in the Concluding Observations of the Initial Report of the Republic of China (Taiwan) on the CRPD.</w:t>
      </w:r>
    </w:p>
  </w:footnote>
  <w:footnote w:id="25">
    <w:p w14:paraId="16FE9428" w14:textId="1E49CC17" w:rsidR="001C09C5" w:rsidRPr="004B7217" w:rsidRDefault="001C09C5" w:rsidP="004B7217">
      <w:pPr>
        <w:pStyle w:val="a9"/>
        <w:rPr>
          <w:rFonts w:ascii="Times" w:eastAsia="標楷體" w:hAnsi="Times" w:cs="Times New Roman"/>
          <w:color w:val="000000" w:themeColor="text1"/>
        </w:rPr>
      </w:pPr>
      <w:r w:rsidRPr="005A087C">
        <w:rPr>
          <w:rStyle w:val="ab"/>
          <w:rFonts w:ascii="Times" w:hAnsi="Times" w:cs="Times New Roman"/>
        </w:rPr>
        <w:footnoteRef/>
      </w:r>
      <w:r w:rsidRPr="005A087C">
        <w:rPr>
          <w:rFonts w:ascii="Times" w:eastAsia="標楷體" w:hAnsi="Times" w:cs="Times New Roman" w:hint="eastAsia"/>
        </w:rPr>
        <w:t xml:space="preserve"> </w:t>
      </w:r>
      <w:r w:rsidRPr="005A087C">
        <w:rPr>
          <w:rFonts w:ascii="Times" w:eastAsia="標楷體" w:hAnsi="Times" w:cs="Times New Roman" w:hint="eastAsia"/>
          <w:color w:val="000000" w:themeColor="text1"/>
        </w:rPr>
        <w:t>R</w:t>
      </w:r>
      <w:r w:rsidRPr="005A087C">
        <w:rPr>
          <w:rFonts w:ascii="Times" w:eastAsia="標楷體" w:hAnsi="Times" w:cs="Times New Roman"/>
          <w:color w:val="000000" w:themeColor="text1"/>
        </w:rPr>
        <w:t xml:space="preserve">esponds to </w:t>
      </w:r>
      <w:r w:rsidRPr="005A087C">
        <w:rPr>
          <w:rFonts w:ascii="Times" w:eastAsia="標楷體" w:hAnsi="Times" w:cs="Times New Roman"/>
        </w:rPr>
        <w:t>Points 28c, 29c, 66c, and 67c in the Concluding Observations of the Initial Report of the Republic of China (Taiwan) on the CRPD.</w:t>
      </w:r>
    </w:p>
  </w:footnote>
  <w:footnote w:id="26">
    <w:p w14:paraId="509E9DDC" w14:textId="4EE0440D" w:rsidR="001C09C5" w:rsidRPr="00E848D4" w:rsidRDefault="001C09C5" w:rsidP="004B7217">
      <w:pPr>
        <w:pStyle w:val="a9"/>
        <w:rPr>
          <w:rFonts w:ascii="Times" w:eastAsia="標楷體" w:hAnsi="Times" w:cs="Times New Roman"/>
          <w:color w:val="000000" w:themeColor="text1"/>
        </w:rPr>
      </w:pPr>
      <w:r w:rsidRPr="005A087C">
        <w:rPr>
          <w:rStyle w:val="ab"/>
          <w:rFonts w:ascii="Times" w:hAnsi="Times" w:cs="Times New Roman"/>
          <w:color w:val="000000" w:themeColor="text1"/>
        </w:rPr>
        <w:footnoteRef/>
      </w:r>
      <w:r w:rsidRPr="005A087C">
        <w:rPr>
          <w:rFonts w:ascii="Times" w:eastAsia="標楷體" w:hAnsi="Times" w:cs="Times New Roman" w:hint="eastAsia"/>
          <w:color w:val="000000" w:themeColor="text1"/>
        </w:rPr>
        <w:t xml:space="preserve"> R</w:t>
      </w:r>
      <w:r w:rsidRPr="005A087C">
        <w:rPr>
          <w:rFonts w:ascii="Times" w:eastAsia="標楷體" w:hAnsi="Times" w:cs="Times New Roman"/>
          <w:color w:val="000000" w:themeColor="text1"/>
        </w:rPr>
        <w:t xml:space="preserve">esponds to Points </w:t>
      </w:r>
      <w:r w:rsidRPr="005A087C">
        <w:rPr>
          <w:rFonts w:ascii="Times" w:eastAsia="標楷體" w:hAnsi="Times" w:cs="Times New Roman"/>
        </w:rPr>
        <w:t>28c and 29c in the Concluding Observations of the Initial Report of the Republic of China (Taiwan) on the CRPD.</w:t>
      </w:r>
    </w:p>
  </w:footnote>
  <w:footnote w:id="27">
    <w:p w14:paraId="7F08F84F" w14:textId="61893E26" w:rsidR="001C09C5" w:rsidRPr="00E848D4" w:rsidRDefault="001C09C5" w:rsidP="006337C1">
      <w:pPr>
        <w:pStyle w:val="a9"/>
        <w:rPr>
          <w:rFonts w:ascii="Times" w:eastAsia="標楷體" w:hAnsi="Times" w:cs="Times New Roman"/>
        </w:rPr>
      </w:pPr>
      <w:r w:rsidRPr="005A087C">
        <w:rPr>
          <w:rStyle w:val="ab"/>
          <w:rFonts w:ascii="Times" w:hAnsi="Times" w:cs="Times New Roman"/>
        </w:rPr>
        <w:footnoteRef/>
      </w:r>
      <w:r w:rsidRPr="005A087C">
        <w:rPr>
          <w:rFonts w:ascii="Times" w:hAnsi="Times" w:cs="Times New Roman"/>
        </w:rPr>
        <w:t xml:space="preserve"> </w:t>
      </w:r>
      <w:r w:rsidRPr="005A087C">
        <w:rPr>
          <w:rFonts w:ascii="Times" w:eastAsia="標楷體" w:hAnsi="Times" w:cs="Times New Roman" w:hint="eastAsia"/>
          <w:color w:val="000000" w:themeColor="text1"/>
        </w:rPr>
        <w:t>R</w:t>
      </w:r>
      <w:r w:rsidRPr="005A087C">
        <w:rPr>
          <w:rFonts w:ascii="Times" w:eastAsia="標楷體" w:hAnsi="Times" w:cs="Times New Roman"/>
          <w:color w:val="000000" w:themeColor="text1"/>
        </w:rPr>
        <w:t xml:space="preserve">esponds to Points </w:t>
      </w:r>
      <w:r w:rsidRPr="005A087C">
        <w:rPr>
          <w:rFonts w:ascii="Times" w:eastAsia="標楷體" w:hAnsi="Times" w:cs="Times New Roman"/>
        </w:rPr>
        <w:t>28c and 29c in the Concluding Observations of the Initial Report of the Republic of China (Taiwan) on the CRPD.</w:t>
      </w:r>
    </w:p>
  </w:footnote>
  <w:footnote w:id="28">
    <w:p w14:paraId="05610ED3" w14:textId="6E057AC6" w:rsidR="001C09C5" w:rsidRPr="00E848D4" w:rsidRDefault="001C09C5" w:rsidP="00E848D4">
      <w:pPr>
        <w:pStyle w:val="a9"/>
        <w:rPr>
          <w:rFonts w:ascii="Times" w:eastAsia="標楷體" w:hAnsi="Times" w:cs="Times New Roman"/>
        </w:rPr>
      </w:pPr>
      <w:r w:rsidRPr="005A087C">
        <w:rPr>
          <w:rStyle w:val="ab"/>
          <w:rFonts w:ascii="Times" w:hAnsi="Times" w:cs="Times New Roman"/>
        </w:rPr>
        <w:footnoteRef/>
      </w:r>
      <w:r w:rsidRPr="005A087C">
        <w:rPr>
          <w:rFonts w:ascii="Times" w:hAnsi="Times" w:cs="Times New Roman"/>
        </w:rPr>
        <w:t xml:space="preserve"> </w:t>
      </w:r>
      <w:r w:rsidRPr="005A087C">
        <w:rPr>
          <w:rFonts w:ascii="Times" w:eastAsia="標楷體" w:hAnsi="Times" w:cs="Times New Roman" w:hint="eastAsia"/>
          <w:color w:val="000000" w:themeColor="text1"/>
        </w:rPr>
        <w:t>R</w:t>
      </w:r>
      <w:r w:rsidRPr="005A087C">
        <w:rPr>
          <w:rFonts w:ascii="Times" w:eastAsia="標楷體" w:hAnsi="Times" w:cs="Times New Roman"/>
          <w:color w:val="000000" w:themeColor="text1"/>
        </w:rPr>
        <w:t xml:space="preserve">esponds to Points </w:t>
      </w:r>
      <w:r w:rsidRPr="005A087C">
        <w:rPr>
          <w:rFonts w:ascii="Times" w:eastAsia="標楷體" w:hAnsi="Times" w:cs="Times New Roman"/>
        </w:rPr>
        <w:t>28d and 29d in the Concluding Observations of the Initial Report of the Republic of China (Taiwan) on the CRPD.</w:t>
      </w:r>
    </w:p>
  </w:footnote>
  <w:footnote w:id="29">
    <w:p w14:paraId="50F9CD84" w14:textId="3F3D5558" w:rsidR="001C09C5" w:rsidRPr="00E848D4" w:rsidRDefault="001C09C5" w:rsidP="00E848D4">
      <w:pPr>
        <w:pStyle w:val="a9"/>
        <w:rPr>
          <w:rFonts w:ascii="Times" w:eastAsia="標楷體" w:hAnsi="Times" w:cs="Times New Roman"/>
        </w:rPr>
      </w:pPr>
      <w:r w:rsidRPr="005A087C">
        <w:rPr>
          <w:rStyle w:val="ab"/>
          <w:rFonts w:ascii="Times" w:hAnsi="Times" w:cs="Times New Roman"/>
        </w:rPr>
        <w:footnoteRef/>
      </w:r>
      <w:r w:rsidRPr="005A087C">
        <w:rPr>
          <w:rFonts w:ascii="Times" w:hAnsi="Times" w:cs="Times New Roman"/>
        </w:rPr>
        <w:t xml:space="preserve"> </w:t>
      </w:r>
      <w:r w:rsidRPr="005A087C">
        <w:rPr>
          <w:rFonts w:ascii="Times" w:eastAsia="標楷體" w:hAnsi="Times" w:cs="Times New Roman" w:hint="eastAsia"/>
          <w:color w:val="000000" w:themeColor="text1"/>
        </w:rPr>
        <w:t>R</w:t>
      </w:r>
      <w:r w:rsidRPr="005A087C">
        <w:rPr>
          <w:rFonts w:ascii="Times" w:eastAsia="標楷體" w:hAnsi="Times" w:cs="Times New Roman"/>
          <w:color w:val="000000" w:themeColor="text1"/>
        </w:rPr>
        <w:t xml:space="preserve">esponds to Points </w:t>
      </w:r>
      <w:r w:rsidRPr="005A087C">
        <w:rPr>
          <w:rFonts w:ascii="Times" w:eastAsia="標楷體" w:hAnsi="Times" w:cs="Times New Roman"/>
        </w:rPr>
        <w:t>28b and 29b in the Concluding Observations of the Initial Report of the Republic of China (Taiwan) on the CRPD.</w:t>
      </w:r>
    </w:p>
  </w:footnote>
  <w:footnote w:id="30">
    <w:p w14:paraId="4E3528D6" w14:textId="61D2FCAF" w:rsidR="001C09C5" w:rsidRPr="005A087C" w:rsidRDefault="001C09C5" w:rsidP="00E848D4">
      <w:pPr>
        <w:pStyle w:val="a9"/>
        <w:rPr>
          <w:rFonts w:ascii="Times" w:eastAsia="標楷體" w:hAnsi="Times" w:cs="Times New Roman"/>
          <w:color w:val="000000" w:themeColor="text1"/>
        </w:rPr>
      </w:pPr>
      <w:r w:rsidRPr="005A087C">
        <w:rPr>
          <w:rStyle w:val="ab"/>
          <w:rFonts w:ascii="Times" w:eastAsia="標楷體" w:hAnsi="Times" w:cs="Times New Roman"/>
          <w:color w:val="000000" w:themeColor="text1"/>
        </w:rPr>
        <w:footnoteRef/>
      </w:r>
      <w:r w:rsidRPr="005A087C">
        <w:rPr>
          <w:rFonts w:ascii="Times" w:eastAsia="標楷體" w:hAnsi="Times" w:cs="Times New Roman"/>
          <w:color w:val="000000" w:themeColor="text1"/>
        </w:rPr>
        <w:t xml:space="preserve"> </w:t>
      </w:r>
      <w:r w:rsidRPr="005A087C">
        <w:rPr>
          <w:rFonts w:ascii="Times" w:eastAsia="標楷體" w:hAnsi="Times" w:cs="Times New Roman" w:hint="eastAsia"/>
          <w:color w:val="000000" w:themeColor="text1"/>
        </w:rPr>
        <w:t>R</w:t>
      </w:r>
      <w:r w:rsidRPr="005A087C">
        <w:rPr>
          <w:rFonts w:ascii="Times" w:eastAsia="標楷體" w:hAnsi="Times" w:cs="Times New Roman"/>
          <w:color w:val="000000" w:themeColor="text1"/>
        </w:rPr>
        <w:t xml:space="preserve">esponds to Points </w:t>
      </w:r>
      <w:r w:rsidRPr="005A087C">
        <w:rPr>
          <w:rFonts w:ascii="Times" w:eastAsia="標楷體" w:hAnsi="Times" w:cs="Times New Roman"/>
        </w:rPr>
        <w:t>62c and 63c in the Concluding Observations of the Initial Report of the Republic of China (Taiwan) on the CRPD.</w:t>
      </w:r>
    </w:p>
  </w:footnote>
  <w:footnote w:id="31">
    <w:p w14:paraId="2D796179" w14:textId="22515013" w:rsidR="001C09C5" w:rsidRPr="005A087C" w:rsidRDefault="001C09C5" w:rsidP="00F370E0">
      <w:pPr>
        <w:pStyle w:val="a9"/>
        <w:ind w:left="300" w:hangingChars="150" w:hanging="300"/>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hint="eastAsia"/>
        </w:rPr>
        <w:t xml:space="preserve"> </w:t>
      </w:r>
      <w:r w:rsidRPr="005A087C">
        <w:rPr>
          <w:rFonts w:ascii="Times" w:eastAsia="標楷體" w:hAnsi="Times" w:cs="Times New Roman"/>
          <w:color w:val="000000" w:themeColor="text1"/>
        </w:rPr>
        <w:t>Points 49</w:t>
      </w:r>
      <w:r>
        <w:rPr>
          <w:rFonts w:ascii="Times" w:eastAsia="標楷體" w:hAnsi="Times" w:cs="Times New Roman"/>
          <w:color w:val="000000" w:themeColor="text1"/>
        </w:rPr>
        <w:t>-</w:t>
      </w:r>
      <w:r w:rsidRPr="005A087C">
        <w:rPr>
          <w:rFonts w:ascii="Times" w:eastAsia="標楷體" w:hAnsi="Times" w:cs="Times New Roman"/>
          <w:color w:val="000000" w:themeColor="text1"/>
        </w:rPr>
        <w:t xml:space="preserve">52 respond to Points </w:t>
      </w:r>
      <w:r w:rsidRPr="005A087C">
        <w:rPr>
          <w:rFonts w:ascii="Times" w:eastAsia="標楷體" w:hAnsi="Times" w:cs="Times New Roman"/>
        </w:rPr>
        <w:t>30a and 31a in the Concluding Observations of the Initial Report of the Republic of China (Taiwan) on the CRPD.</w:t>
      </w:r>
    </w:p>
    <w:p w14:paraId="3B5A0128" w14:textId="77777777" w:rsidR="001C09C5" w:rsidRPr="005A087C" w:rsidRDefault="001C09C5" w:rsidP="00E848D4">
      <w:pPr>
        <w:pStyle w:val="a9"/>
        <w:ind w:leftChars="93" w:left="223"/>
        <w:rPr>
          <w:rFonts w:ascii="Times" w:eastAsia="標楷體" w:hAnsi="Times" w:cs="Times New Roman"/>
        </w:rPr>
      </w:pPr>
      <w:r w:rsidRPr="005A087C">
        <w:rPr>
          <w:rFonts w:ascii="Times" w:eastAsia="標楷體" w:hAnsi="Times" w:cs="Times New Roman"/>
        </w:rPr>
        <w:t xml:space="preserve">This point 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30b and 31b in the Concluding Observations of the Initial Report of the Republic of China (Taiwan) on the CRPD.</w:t>
      </w:r>
    </w:p>
  </w:footnote>
  <w:footnote w:id="32">
    <w:p w14:paraId="6812AE05" w14:textId="24799F87" w:rsidR="001C09C5" w:rsidRPr="00760489" w:rsidRDefault="001C09C5" w:rsidP="00760489">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w:t>
      </w:r>
      <w:r w:rsidRPr="005A087C">
        <w:rPr>
          <w:rFonts w:ascii="Times" w:eastAsia="標楷體" w:hAnsi="Times" w:cs="Times New Roman"/>
        </w:rPr>
        <w:t>Points 53</w:t>
      </w:r>
      <w:r>
        <w:rPr>
          <w:rFonts w:ascii="Times" w:eastAsia="標楷體" w:hAnsi="Times" w:cs="Times New Roman"/>
        </w:rPr>
        <w:t>-</w:t>
      </w:r>
      <w:r w:rsidRPr="005A087C">
        <w:rPr>
          <w:rFonts w:ascii="Times" w:eastAsia="標楷體" w:hAnsi="Times" w:cs="Times New Roman"/>
        </w:rPr>
        <w:t xml:space="preserve">56 </w:t>
      </w:r>
      <w:r w:rsidRPr="005A087C">
        <w:rPr>
          <w:rFonts w:ascii="Times" w:eastAsia="標楷體" w:hAnsi="Times" w:cs="Times New Roman"/>
          <w:color w:val="000000" w:themeColor="text1"/>
        </w:rPr>
        <w:t xml:space="preserve">respond to Points </w:t>
      </w:r>
      <w:r w:rsidRPr="005A087C">
        <w:rPr>
          <w:rFonts w:ascii="Times" w:eastAsia="標楷體" w:hAnsi="Times" w:cs="Times New Roman"/>
        </w:rPr>
        <w:t>30b and 31b in the Concluding Observations of the Initial Report of the Republic of China (Taiwan) on the CRPD.</w:t>
      </w:r>
    </w:p>
  </w:footnote>
  <w:footnote w:id="33">
    <w:p w14:paraId="01542DD7" w14:textId="6463ECF5" w:rsidR="001C09C5" w:rsidRPr="005A087C" w:rsidRDefault="001C09C5" w:rsidP="00760489">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hint="eastAsia"/>
        </w:rPr>
        <w:t xml:space="preserve"> </w:t>
      </w:r>
      <w:r w:rsidRPr="005A087C">
        <w:rPr>
          <w:rFonts w:ascii="Times" w:eastAsia="標楷體" w:hAnsi="Times" w:cs="Times New Roman"/>
        </w:rPr>
        <w:t xml:space="preserve">Points 54 and 55 </w:t>
      </w:r>
      <w:r w:rsidRPr="005A087C">
        <w:rPr>
          <w:rFonts w:ascii="Times" w:eastAsia="標楷體" w:hAnsi="Times" w:cs="Times New Roman"/>
          <w:color w:val="000000" w:themeColor="text1"/>
        </w:rPr>
        <w:t xml:space="preserve">respond to Points </w:t>
      </w:r>
      <w:r w:rsidRPr="005A087C">
        <w:rPr>
          <w:rFonts w:ascii="Times" w:eastAsia="標楷體" w:hAnsi="Times" w:cs="Times New Roman"/>
        </w:rPr>
        <w:t>40a and 41a in the Concluding Observations of the Initial Report of the Republic of China (Taiwan) on the CRPD.</w:t>
      </w:r>
    </w:p>
  </w:footnote>
  <w:footnote w:id="34">
    <w:p w14:paraId="025241B2" w14:textId="68E9C17A" w:rsidR="001C09C5" w:rsidRPr="00427318" w:rsidRDefault="001C09C5" w:rsidP="00427318">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w:t>
      </w:r>
      <w:r w:rsidRPr="005A087C">
        <w:rPr>
          <w:rFonts w:ascii="Times" w:eastAsia="標楷體" w:hAnsi="Times" w:cs="Times New Roman"/>
        </w:rPr>
        <w:t>Points 58</w:t>
      </w:r>
      <w:r>
        <w:rPr>
          <w:rFonts w:ascii="Times" w:eastAsia="標楷體" w:hAnsi="Times" w:cs="Times New Roman"/>
        </w:rPr>
        <w:t>-</w:t>
      </w:r>
      <w:r w:rsidRPr="005A087C">
        <w:rPr>
          <w:rFonts w:ascii="Times" w:eastAsia="標楷體" w:hAnsi="Times" w:cs="Times New Roman"/>
        </w:rPr>
        <w:t xml:space="preserve">61 </w:t>
      </w:r>
      <w:r w:rsidRPr="005A087C">
        <w:rPr>
          <w:rFonts w:ascii="Times" w:eastAsia="標楷體" w:hAnsi="Times" w:cs="Times New Roman"/>
          <w:color w:val="000000" w:themeColor="text1"/>
        </w:rPr>
        <w:t xml:space="preserve">respond to Points </w:t>
      </w:r>
      <w:r w:rsidRPr="005A087C">
        <w:rPr>
          <w:rFonts w:ascii="Times" w:eastAsia="標楷體" w:hAnsi="Times" w:cs="Times New Roman"/>
        </w:rPr>
        <w:t>30b and 31b in the Concluding Observations of the Initial Report of the Republic of China (Taiwan) on the CRPD.</w:t>
      </w:r>
    </w:p>
  </w:footnote>
  <w:footnote w:id="35">
    <w:p w14:paraId="6084619A" w14:textId="58224748" w:rsidR="001C09C5" w:rsidRPr="005A087C" w:rsidRDefault="001C09C5" w:rsidP="00C66759">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w:t>
      </w:r>
      <w:r w:rsidRPr="005A087C">
        <w:rPr>
          <w:rFonts w:ascii="Times" w:eastAsia="標楷體" w:hAnsi="Times" w:cs="Times New Roman"/>
          <w:color w:val="000000" w:themeColor="text1"/>
        </w:rPr>
        <w:t xml:space="preserve">esponds to Points </w:t>
      </w:r>
      <w:r w:rsidRPr="005A087C">
        <w:rPr>
          <w:rFonts w:ascii="Times" w:eastAsia="標楷體" w:hAnsi="Times" w:cs="Times New Roman"/>
        </w:rPr>
        <w:t>32a and 33a in the Concluding Observations of the Initial Report of the Republic of China (Taiwan) on the CRPD.</w:t>
      </w:r>
    </w:p>
  </w:footnote>
  <w:footnote w:id="36">
    <w:p w14:paraId="4D9A7F1D" w14:textId="54D07B40" w:rsidR="001C09C5" w:rsidRPr="005A087C" w:rsidRDefault="001C09C5" w:rsidP="000E010B">
      <w:pPr>
        <w:pStyle w:val="a9"/>
        <w:ind w:left="224" w:hangingChars="112" w:hanging="224"/>
        <w:rPr>
          <w:rFonts w:ascii="Times" w:eastAsia="標楷體" w:hAnsi="Times" w:cs="Times New Roman"/>
        </w:rPr>
      </w:pPr>
      <w:r w:rsidRPr="005A087C">
        <w:rPr>
          <w:rStyle w:val="ab"/>
          <w:rFonts w:ascii="Times" w:hAnsi="Times" w:cs="Times New Roman"/>
        </w:rPr>
        <w:footnoteRef/>
      </w:r>
      <w:r w:rsidRPr="005A087C">
        <w:rPr>
          <w:rFonts w:ascii="Times" w:eastAsia="標楷體" w:hAnsi="Times" w:cs="Times New Roman" w:hint="eastAsia"/>
        </w:rPr>
        <w:t xml:space="preserve"> </w:t>
      </w:r>
      <w:r w:rsidRPr="005A087C">
        <w:rPr>
          <w:rFonts w:ascii="Times" w:eastAsia="標楷體" w:hAnsi="Times" w:cs="Times New Roman"/>
        </w:rPr>
        <w:t>Granted to an individual condominium unit(s)/household(s) or a non</w:t>
      </w:r>
      <w:r>
        <w:rPr>
          <w:rFonts w:ascii="Times" w:eastAsia="標楷體" w:hAnsi="Times" w:cs="Times New Roman"/>
        </w:rPr>
        <w:t>-</w:t>
      </w:r>
      <w:r w:rsidRPr="005A087C">
        <w:rPr>
          <w:rFonts w:ascii="Times" w:eastAsia="標楷體" w:hAnsi="Times" w:cs="Times New Roman"/>
        </w:rPr>
        <w:t>condominium building meeting the accessible housing standards of type, scope, facilities, and design.</w:t>
      </w:r>
    </w:p>
  </w:footnote>
  <w:footnote w:id="37">
    <w:p w14:paraId="578DE21F" w14:textId="6AB05171" w:rsidR="001C09C5" w:rsidRPr="000E010B" w:rsidRDefault="001C09C5" w:rsidP="000E010B">
      <w:pPr>
        <w:pStyle w:val="a9"/>
        <w:ind w:left="210" w:hangingChars="105" w:hanging="210"/>
        <w:rPr>
          <w:rFonts w:ascii="Times" w:eastAsia="標楷體" w:hAnsi="Times" w:cs="Times New Roman"/>
        </w:rPr>
      </w:pPr>
      <w:r w:rsidRPr="005A087C">
        <w:rPr>
          <w:rStyle w:val="ab"/>
          <w:rFonts w:ascii="Times" w:hAnsi="Times" w:cs="Times New Roman"/>
        </w:rPr>
        <w:footnoteRef/>
      </w:r>
      <w:r w:rsidRPr="005A087C">
        <w:rPr>
          <w:rFonts w:ascii="Times" w:eastAsia="標楷體" w:hAnsi="Times" w:cs="Times New Roman" w:hint="eastAsia"/>
        </w:rPr>
        <w:t xml:space="preserve"> G</w:t>
      </w:r>
      <w:r w:rsidRPr="005A087C">
        <w:rPr>
          <w:rFonts w:ascii="Times" w:eastAsia="標楷體" w:hAnsi="Times" w:cs="Times New Roman"/>
        </w:rPr>
        <w:t>ranted to an independent condominium with 5</w:t>
      </w:r>
      <w:r>
        <w:rPr>
          <w:rFonts w:ascii="Times" w:eastAsia="標楷體" w:hAnsi="Times" w:cs="Times New Roman"/>
        </w:rPr>
        <w:t xml:space="preserve"> percent</w:t>
      </w:r>
      <w:r w:rsidRPr="005A087C">
        <w:rPr>
          <w:rFonts w:ascii="Times" w:eastAsia="標楷體" w:hAnsi="Times" w:cs="Times New Roman"/>
        </w:rPr>
        <w:t xml:space="preserve"> of its individual units and at least three housing units (households) meeting the accessible housing standards of type, scope, facilities, and design.</w:t>
      </w:r>
    </w:p>
  </w:footnote>
  <w:footnote w:id="38">
    <w:p w14:paraId="1EBD2760" w14:textId="0544B86A" w:rsidR="001C09C5" w:rsidRPr="005A087C" w:rsidRDefault="001C09C5" w:rsidP="000E010B">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I</w:t>
      </w:r>
      <w:r w:rsidRPr="005A087C">
        <w:rPr>
          <w:rFonts w:ascii="Times" w:eastAsia="標楷體" w:hAnsi="Times" w:cs="Times New Roman"/>
        </w:rPr>
        <w:t>ncluding doors, grab bars, ramps, faucets, fall prevention measures, and bathroom hardware.</w:t>
      </w:r>
    </w:p>
  </w:footnote>
  <w:footnote w:id="39">
    <w:p w14:paraId="3FB45604" w14:textId="0BD5E53B" w:rsidR="001C09C5" w:rsidRPr="005A087C" w:rsidRDefault="001C09C5" w:rsidP="00745A14">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w:t>
      </w:r>
      <w:r w:rsidRPr="005A087C">
        <w:rPr>
          <w:rFonts w:ascii="Times" w:eastAsia="標楷體" w:hAnsi="Times" w:cs="Times New Roman"/>
          <w:color w:val="000000" w:themeColor="text1"/>
        </w:rPr>
        <w:t xml:space="preserve">esponds to Points </w:t>
      </w:r>
      <w:r w:rsidRPr="005A087C">
        <w:rPr>
          <w:rFonts w:ascii="Times" w:eastAsia="標楷體" w:hAnsi="Times" w:cs="Times New Roman"/>
        </w:rPr>
        <w:t>32a and 33a in the Concluding Observations of the Initial Report of the Republic of China (Taiwan) on the CRPD.</w:t>
      </w:r>
    </w:p>
  </w:footnote>
  <w:footnote w:id="40">
    <w:p w14:paraId="2007CB9A" w14:textId="2EFAAB8C" w:rsidR="001C09C5" w:rsidRPr="005A087C" w:rsidRDefault="001C09C5" w:rsidP="00745A14">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P</w:t>
      </w:r>
      <w:r w:rsidRPr="005A087C">
        <w:rPr>
          <w:rFonts w:ascii="Times" w:eastAsia="標楷體" w:hAnsi="Times" w:cs="Times New Roman"/>
        </w:rPr>
        <w:t>oints 69 and 79 r</w:t>
      </w:r>
      <w:r w:rsidRPr="005A087C">
        <w:rPr>
          <w:rFonts w:ascii="Times" w:eastAsia="標楷體" w:hAnsi="Times" w:cs="Times New Roman"/>
          <w:color w:val="000000" w:themeColor="text1"/>
        </w:rPr>
        <w:t xml:space="preserve">espond to Points </w:t>
      </w:r>
      <w:r w:rsidRPr="005A087C">
        <w:rPr>
          <w:rFonts w:ascii="Times" w:eastAsia="標楷體" w:hAnsi="Times" w:cs="Times New Roman"/>
        </w:rPr>
        <w:t>32a and 33a in the Concluding Observations of the Initial Report of the Republic of China (Taiwan) on the CRPD.</w:t>
      </w:r>
    </w:p>
  </w:footnote>
  <w:footnote w:id="41">
    <w:p w14:paraId="25484997" w14:textId="166EA8F1" w:rsidR="001C09C5" w:rsidRPr="005A087C" w:rsidRDefault="001C09C5" w:rsidP="00745A14">
      <w:pPr>
        <w:pStyle w:val="a9"/>
        <w:ind w:left="224" w:hangingChars="112" w:hanging="224"/>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Importance is measured </w:t>
      </w:r>
      <w:r w:rsidRPr="00745A14">
        <w:rPr>
          <w:rFonts w:ascii="Times" w:eastAsia="標楷體" w:hAnsi="Times" w:cs="Times New Roman"/>
        </w:rPr>
        <w:t xml:space="preserve">by surveying </w:t>
      </w:r>
      <w:r w:rsidRPr="00745A14">
        <w:rPr>
          <w:rFonts w:ascii="Times New Roman" w:eastAsia="標楷體" w:hAnsi="Times New Roman" w:cs="Times New Roman"/>
          <w:szCs w:val="24"/>
        </w:rPr>
        <w:t>people</w:t>
      </w:r>
      <w:r w:rsidRPr="00745A14">
        <w:rPr>
          <w:rFonts w:ascii="Times" w:eastAsia="標楷體" w:hAnsi="Times" w:cs="Times New Roman"/>
        </w:rPr>
        <w:t xml:space="preserve"> with </w:t>
      </w:r>
      <w:r w:rsidRPr="005A087C">
        <w:rPr>
          <w:rFonts w:ascii="Times" w:eastAsia="標楷體" w:hAnsi="Times" w:cs="Times New Roman"/>
        </w:rPr>
        <w:t>disabilities regarding their primary, secondary, and tertiary modes of transport</w:t>
      </w:r>
      <w:r>
        <w:rPr>
          <w:rFonts w:ascii="Times New Roman" w:eastAsia="標楷體" w:hAnsi="Times New Roman" w:cs="Times New Roman"/>
          <w:szCs w:val="28"/>
        </w:rPr>
        <w:t>ation</w:t>
      </w:r>
      <w:r w:rsidRPr="005A087C">
        <w:rPr>
          <w:rFonts w:ascii="Times" w:eastAsia="標楷體" w:hAnsi="Times" w:cs="Times New Roman"/>
        </w:rPr>
        <w:t xml:space="preserve"> using the following equation: </w:t>
      </w:r>
      <w:r>
        <w:rPr>
          <w:rFonts w:ascii="Times" w:eastAsia="標楷體" w:hAnsi="Times" w:cs="Times New Roman"/>
        </w:rPr>
        <w:t>p</w:t>
      </w:r>
      <w:r w:rsidRPr="005A087C">
        <w:rPr>
          <w:rFonts w:ascii="Times" w:eastAsia="標楷體" w:hAnsi="Times" w:cs="Times New Roman"/>
        </w:rPr>
        <w:t>rimary</w:t>
      </w:r>
      <w:r>
        <w:rPr>
          <w:rFonts w:ascii="Times" w:eastAsia="標楷體" w:hAnsi="Times" w:cs="Times New Roman"/>
        </w:rPr>
        <w:t xml:space="preserve"> percent</w:t>
      </w:r>
      <w:r w:rsidRPr="005A087C">
        <w:rPr>
          <w:rFonts w:ascii="Times" w:eastAsia="標楷體" w:hAnsi="Times" w:cs="Times New Roman"/>
        </w:rPr>
        <w:t xml:space="preserve"> × 1 point + </w:t>
      </w:r>
      <w:r>
        <w:rPr>
          <w:rFonts w:ascii="Times" w:eastAsia="標楷體" w:hAnsi="Times" w:cs="Times New Roman"/>
        </w:rPr>
        <w:t>s</w:t>
      </w:r>
      <w:r w:rsidRPr="005A087C">
        <w:rPr>
          <w:rFonts w:ascii="Times" w:eastAsia="標楷體" w:hAnsi="Times" w:cs="Times New Roman"/>
        </w:rPr>
        <w:t>econdary</w:t>
      </w:r>
      <w:r>
        <w:rPr>
          <w:rFonts w:ascii="Times" w:eastAsia="標楷體" w:hAnsi="Times" w:cs="Times New Roman"/>
        </w:rPr>
        <w:t xml:space="preserve"> percent</w:t>
      </w:r>
      <w:r w:rsidRPr="005A087C">
        <w:rPr>
          <w:rFonts w:ascii="Times" w:eastAsia="標楷體" w:hAnsi="Times" w:cs="Times New Roman"/>
        </w:rPr>
        <w:t xml:space="preserve"> × (2/3) point + </w:t>
      </w:r>
      <w:r>
        <w:rPr>
          <w:rFonts w:ascii="Times" w:eastAsia="標楷體" w:hAnsi="Times" w:cs="Times New Roman"/>
        </w:rPr>
        <w:t>t</w:t>
      </w:r>
      <w:r w:rsidRPr="005A087C">
        <w:rPr>
          <w:rFonts w:ascii="Times" w:eastAsia="標楷體" w:hAnsi="Times" w:cs="Times New Roman"/>
        </w:rPr>
        <w:t>ertiary</w:t>
      </w:r>
      <w:r>
        <w:rPr>
          <w:rFonts w:ascii="Times" w:eastAsia="標楷體" w:hAnsi="Times" w:cs="Times New Roman"/>
        </w:rPr>
        <w:t xml:space="preserve"> percent</w:t>
      </w:r>
      <w:r w:rsidRPr="005A087C">
        <w:rPr>
          <w:rFonts w:ascii="Times" w:eastAsia="標楷體" w:hAnsi="Times" w:cs="Times New Roman"/>
        </w:rPr>
        <w:t xml:space="preserve"> × (1/3) point.</w:t>
      </w:r>
    </w:p>
  </w:footnote>
  <w:footnote w:id="42">
    <w:p w14:paraId="00DDEA75" w14:textId="4122C74B" w:rsidR="001C09C5" w:rsidRPr="005A087C" w:rsidRDefault="001C09C5" w:rsidP="00875E86">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w:t>
      </w:r>
      <w:r w:rsidRPr="005A087C">
        <w:rPr>
          <w:rFonts w:ascii="Times" w:eastAsia="標楷體" w:hAnsi="Times" w:cs="Times New Roman"/>
          <w:color w:val="000000" w:themeColor="text1"/>
        </w:rPr>
        <w:t xml:space="preserve">esponds to Points </w:t>
      </w:r>
      <w:r w:rsidRPr="005A087C">
        <w:rPr>
          <w:rFonts w:ascii="Times" w:eastAsia="標楷體" w:hAnsi="Times" w:cs="Times New Roman"/>
        </w:rPr>
        <w:t>32a and 33a in the Concluding Observations of the Initial Report of the Republic of China (Taiwan) on the CRPD.</w:t>
      </w:r>
    </w:p>
  </w:footnote>
  <w:footnote w:id="43">
    <w:p w14:paraId="035298F6" w14:textId="6B6E98DA" w:rsidR="001C09C5" w:rsidRPr="005A087C" w:rsidRDefault="001C09C5" w:rsidP="00CF5A36">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hint="eastAsia"/>
        </w:rPr>
        <w:t xml:space="preserve"> </w:t>
      </w:r>
      <w:r w:rsidRPr="005A087C">
        <w:rPr>
          <w:rFonts w:ascii="Times" w:eastAsia="標楷體" w:hAnsi="Times" w:cs="Times New Roman"/>
        </w:rPr>
        <w:t xml:space="preserve">Easy-read publications refer to an accessible format of public information translated </w:t>
      </w:r>
      <w:r w:rsidRPr="00CF5A36">
        <w:rPr>
          <w:rFonts w:ascii="Times" w:eastAsia="標楷體" w:hAnsi="Times" w:cs="Times New Roman"/>
        </w:rPr>
        <w:t xml:space="preserve">for </w:t>
      </w:r>
      <w:r w:rsidRPr="00CF5A36">
        <w:rPr>
          <w:rFonts w:ascii="Times New Roman" w:eastAsia="標楷體" w:hAnsi="Times New Roman" w:cs="Times New Roman"/>
          <w:szCs w:val="24"/>
        </w:rPr>
        <w:t>people</w:t>
      </w:r>
      <w:r w:rsidRPr="00CF5A36">
        <w:rPr>
          <w:rFonts w:ascii="Times" w:eastAsia="標楷體" w:hAnsi="Times" w:cs="Times New Roman"/>
        </w:rPr>
        <w:t xml:space="preserve"> with </w:t>
      </w:r>
      <w:r w:rsidRPr="005A087C">
        <w:rPr>
          <w:rFonts w:ascii="Times" w:eastAsia="標楷體" w:hAnsi="Times" w:cs="Times New Roman"/>
        </w:rPr>
        <w:t>disabilities.</w:t>
      </w:r>
    </w:p>
  </w:footnote>
  <w:footnote w:id="44">
    <w:p w14:paraId="1A2C8B22" w14:textId="31AE79C8" w:rsidR="001C09C5" w:rsidRPr="00CF5A36" w:rsidRDefault="001C09C5" w:rsidP="00CF5A36">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w:t>
      </w:r>
      <w:r w:rsidRPr="005A087C">
        <w:rPr>
          <w:rFonts w:ascii="Times" w:eastAsia="標楷體" w:hAnsi="Times" w:cs="Times New Roman"/>
        </w:rPr>
        <w:t>R</w:t>
      </w:r>
      <w:r w:rsidRPr="005A087C">
        <w:rPr>
          <w:rFonts w:ascii="Times" w:eastAsia="標楷體" w:hAnsi="Times" w:cs="Times New Roman"/>
          <w:color w:val="000000" w:themeColor="text1"/>
        </w:rPr>
        <w:t xml:space="preserve">esponds to Points </w:t>
      </w:r>
      <w:r w:rsidRPr="005A087C">
        <w:rPr>
          <w:rFonts w:ascii="Times" w:eastAsia="標楷體" w:hAnsi="Times" w:cs="Times New Roman"/>
        </w:rPr>
        <w:t>56b and 57b in the Concluding Observations of the Initial Report of the Republic of China (Taiwan) on the CRPD.</w:t>
      </w:r>
    </w:p>
  </w:footnote>
  <w:footnote w:id="45">
    <w:p w14:paraId="7C01F009" w14:textId="07670857" w:rsidR="001C09C5" w:rsidRPr="0031515A" w:rsidRDefault="001C09C5" w:rsidP="00CF5A36">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w:t>
      </w:r>
      <w:r w:rsidRPr="005A087C">
        <w:rPr>
          <w:rFonts w:ascii="Times" w:eastAsia="標楷體" w:hAnsi="Times" w:cs="Times New Roman"/>
        </w:rPr>
        <w:t>R</w:t>
      </w:r>
      <w:r w:rsidRPr="005A087C">
        <w:rPr>
          <w:rFonts w:ascii="Times" w:eastAsia="標楷體" w:hAnsi="Times" w:cs="Times New Roman"/>
          <w:color w:val="000000" w:themeColor="text1"/>
        </w:rPr>
        <w:t xml:space="preserve">esponds to Points </w:t>
      </w:r>
      <w:r w:rsidRPr="005A087C">
        <w:rPr>
          <w:rFonts w:ascii="Times" w:eastAsia="標楷體" w:hAnsi="Times" w:cs="Times New Roman"/>
        </w:rPr>
        <w:t>56b and 57b in the Concluding Observations of the Initial Report of the Republic of China (Taiwan) on the CRPD.</w:t>
      </w:r>
    </w:p>
  </w:footnote>
  <w:footnote w:id="46">
    <w:p w14:paraId="195D8FFF" w14:textId="5E191091" w:rsidR="001C09C5" w:rsidRPr="005A087C" w:rsidRDefault="001C09C5" w:rsidP="0031515A">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hint="eastAsia"/>
        </w:rPr>
        <w:t xml:space="preserve"> </w:t>
      </w:r>
      <w:r w:rsidRPr="005A087C">
        <w:rPr>
          <w:rFonts w:ascii="Times" w:eastAsia="標楷體" w:hAnsi="Times" w:cs="Times New Roman"/>
        </w:rPr>
        <w:t>R</w:t>
      </w:r>
      <w:r w:rsidRPr="005A087C">
        <w:rPr>
          <w:rFonts w:ascii="Times" w:eastAsia="標楷體" w:hAnsi="Times" w:cs="Times New Roman"/>
          <w:color w:val="000000" w:themeColor="text1"/>
        </w:rPr>
        <w:t xml:space="preserve">esponds to Points </w:t>
      </w:r>
      <w:r w:rsidRPr="005A087C">
        <w:rPr>
          <w:rFonts w:ascii="Times" w:eastAsia="標楷體" w:hAnsi="Times" w:cs="Times New Roman"/>
        </w:rPr>
        <w:t>32b and 33b in the Concluding Observations of the Initial Report of the Republic of China (Taiwan) on the CRPD.</w:t>
      </w:r>
    </w:p>
  </w:footnote>
  <w:footnote w:id="47">
    <w:p w14:paraId="13F30A4A" w14:textId="2E53D402" w:rsidR="001C09C5" w:rsidRPr="0031515A" w:rsidRDefault="001C09C5" w:rsidP="0031515A">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w:t>
      </w:r>
      <w:r w:rsidRPr="005A087C">
        <w:rPr>
          <w:rFonts w:ascii="Times" w:eastAsia="標楷體" w:hAnsi="Times" w:cs="Times New Roman"/>
        </w:rPr>
        <w:t>Points 87</w:t>
      </w:r>
      <w:r w:rsidR="008B6A43">
        <w:rPr>
          <w:rFonts w:ascii="Times" w:eastAsia="標楷體" w:hAnsi="Times" w:cs="Times New Roman"/>
        </w:rPr>
        <w:t>-</w:t>
      </w:r>
      <w:r w:rsidRPr="005A087C">
        <w:rPr>
          <w:rFonts w:ascii="Times" w:eastAsia="標楷體" w:hAnsi="Times" w:cs="Times New Roman"/>
        </w:rPr>
        <w:t xml:space="preserve">89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34 and 35 in the Concluding Observations of the Initial Report of the Republic of China (Taiwan) on the CRPD.</w:t>
      </w:r>
    </w:p>
  </w:footnote>
  <w:footnote w:id="48">
    <w:p w14:paraId="22D62D88" w14:textId="24B74291" w:rsidR="001C09C5" w:rsidRPr="005A087C" w:rsidRDefault="001C09C5" w:rsidP="000E421B">
      <w:pPr>
        <w:pStyle w:val="a9"/>
        <w:ind w:left="252" w:hangingChars="126" w:hanging="252"/>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Basic plans for DPP are devised in accordance with the </w:t>
      </w:r>
      <w:r w:rsidRPr="002153DE">
        <w:rPr>
          <w:rFonts w:ascii="Times" w:eastAsia="標楷體" w:hAnsi="Times" w:cs="Times New Roman"/>
          <w:iCs/>
        </w:rPr>
        <w:t>Disaster Prevention and Protection Act</w:t>
      </w:r>
      <w:r w:rsidRPr="005A087C">
        <w:rPr>
          <w:rFonts w:ascii="Times" w:eastAsia="標楷體" w:hAnsi="Times" w:cs="Times New Roman"/>
        </w:rPr>
        <w:t>, enacted upon approval by the Central Disaster Prevention and Response Council chaired by the Premier of the Executive Yuan, and revised once every five years. The latest plans were announced in 2018; please visit the website of the council for more detail.</w:t>
      </w:r>
    </w:p>
  </w:footnote>
  <w:footnote w:id="49">
    <w:p w14:paraId="36429892" w14:textId="60F91BE1" w:rsidR="001C09C5" w:rsidRPr="005A087C" w:rsidRDefault="001C09C5" w:rsidP="000E421B">
      <w:pPr>
        <w:pStyle w:val="a9"/>
        <w:ind w:left="252" w:hangingChars="126" w:hanging="252"/>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DPP plans adopted by </w:t>
      </w:r>
      <w:r>
        <w:rPr>
          <w:rFonts w:ascii="Times" w:eastAsia="標楷體" w:hAnsi="Times" w:cs="Times New Roman"/>
        </w:rPr>
        <w:t xml:space="preserve">governments at all levels </w:t>
      </w:r>
      <w:r w:rsidRPr="005A087C">
        <w:rPr>
          <w:rFonts w:ascii="Times" w:eastAsia="標楷體" w:hAnsi="Times" w:cs="Times New Roman"/>
        </w:rPr>
        <w:t>comprise DPP operating plans for 22 types of disasters adopted by central competent authorities and regional DPP plans adopted by 22 municipal and county (city) governments.</w:t>
      </w:r>
    </w:p>
  </w:footnote>
  <w:footnote w:id="50">
    <w:p w14:paraId="7D7F8352" w14:textId="4FAF67B2" w:rsidR="001C09C5" w:rsidRPr="000E421B" w:rsidRDefault="001C09C5" w:rsidP="000E421B">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w:t>
      </w:r>
      <w:r w:rsidRPr="005A087C">
        <w:rPr>
          <w:rFonts w:ascii="Times" w:eastAsia="標楷體" w:hAnsi="Times" w:cs="Times New Roman"/>
        </w:rPr>
        <w:t>R</w:t>
      </w:r>
      <w:r w:rsidRPr="005A087C">
        <w:rPr>
          <w:rFonts w:ascii="Times" w:eastAsia="標楷體" w:hAnsi="Times" w:cs="Times New Roman"/>
          <w:color w:val="000000" w:themeColor="text1"/>
        </w:rPr>
        <w:t xml:space="preserve">esponds to Points </w:t>
      </w:r>
      <w:r w:rsidRPr="005A087C">
        <w:rPr>
          <w:rFonts w:ascii="Times" w:eastAsia="標楷體" w:hAnsi="Times" w:cs="Times New Roman"/>
        </w:rPr>
        <w:t>32a, 36b, 36c, and 37a</w:t>
      </w:r>
      <w:r w:rsidR="008B6A43">
        <w:rPr>
          <w:rFonts w:ascii="Times" w:eastAsia="標楷體" w:hAnsi="Times" w:cs="Times New Roman"/>
        </w:rPr>
        <w:t>-</w:t>
      </w:r>
      <w:r w:rsidRPr="005A087C">
        <w:rPr>
          <w:rFonts w:ascii="Times" w:eastAsia="標楷體" w:hAnsi="Times" w:cs="Times New Roman"/>
        </w:rPr>
        <w:t>c in the Concluding Observations of the Initial Report of the Republic of China (Taiwan) on the CRPD.</w:t>
      </w:r>
    </w:p>
  </w:footnote>
  <w:footnote w:id="51">
    <w:p w14:paraId="14E6E783" w14:textId="3DCE108E" w:rsidR="001C09C5" w:rsidRPr="000E421B" w:rsidRDefault="001C09C5" w:rsidP="000E421B">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w:t>
      </w:r>
      <w:r w:rsidRPr="005A087C">
        <w:rPr>
          <w:rFonts w:ascii="Times" w:eastAsia="標楷體" w:hAnsi="Times" w:cs="Times New Roman"/>
        </w:rPr>
        <w:t>R</w:t>
      </w:r>
      <w:r w:rsidRPr="005A087C">
        <w:rPr>
          <w:rFonts w:ascii="Times" w:eastAsia="標楷體" w:hAnsi="Times" w:cs="Times New Roman"/>
          <w:color w:val="000000" w:themeColor="text1"/>
        </w:rPr>
        <w:t xml:space="preserve">esponds to Points </w:t>
      </w:r>
      <w:r w:rsidRPr="005A087C">
        <w:rPr>
          <w:rFonts w:ascii="Times" w:eastAsia="標楷體" w:hAnsi="Times" w:cs="Times New Roman"/>
        </w:rPr>
        <w:t>36b and 37b in the Concluding Observations of the Initial Report of the Republic of China (Taiwan) on the CRPD.</w:t>
      </w:r>
    </w:p>
  </w:footnote>
  <w:footnote w:id="52">
    <w:p w14:paraId="5B24940D" w14:textId="1EF5806E" w:rsidR="001C09C5" w:rsidRPr="000E421B" w:rsidRDefault="001C09C5" w:rsidP="000E421B">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w:t>
      </w:r>
      <w:r w:rsidRPr="005A087C">
        <w:rPr>
          <w:rFonts w:ascii="Times" w:eastAsia="標楷體" w:hAnsi="Times" w:cs="Times New Roman"/>
        </w:rPr>
        <w:t>R</w:t>
      </w:r>
      <w:r w:rsidRPr="005A087C">
        <w:rPr>
          <w:rFonts w:ascii="Times" w:eastAsia="標楷體" w:hAnsi="Times" w:cs="Times New Roman"/>
          <w:color w:val="000000" w:themeColor="text1"/>
        </w:rPr>
        <w:t xml:space="preserve">esponds to Points </w:t>
      </w:r>
      <w:r w:rsidRPr="005A087C">
        <w:rPr>
          <w:rFonts w:ascii="Times" w:eastAsia="標楷體" w:hAnsi="Times" w:cs="Times New Roman"/>
        </w:rPr>
        <w:t>36d and 37d in the Concluding Observations of the Initial Report of the Republic of China (Taiwan) on the CRPD.</w:t>
      </w:r>
    </w:p>
  </w:footnote>
  <w:footnote w:id="53">
    <w:p w14:paraId="0C7ADD35" w14:textId="143E1C65" w:rsidR="001C09C5" w:rsidRPr="0066443A" w:rsidRDefault="001C09C5" w:rsidP="0066443A">
      <w:pPr>
        <w:pStyle w:val="a9"/>
        <w:rPr>
          <w:rFonts w:ascii="Times" w:eastAsia="標楷體" w:hAnsi="Times" w:cs="Times New Roman"/>
        </w:rPr>
      </w:pPr>
      <w:r w:rsidRPr="005A087C">
        <w:rPr>
          <w:rStyle w:val="ab"/>
          <w:rFonts w:ascii="Times" w:hAnsi="Times" w:cs="Times New Roman"/>
        </w:rPr>
        <w:footnoteRef/>
      </w:r>
      <w:r w:rsidRPr="005A087C">
        <w:rPr>
          <w:rFonts w:ascii="Times" w:eastAsia="標楷體" w:hAnsi="Times" w:cs="Times New Roman"/>
        </w:rPr>
        <w:t xml:space="preserve"> R</w:t>
      </w:r>
      <w:r w:rsidRPr="005A087C">
        <w:rPr>
          <w:rFonts w:ascii="Times" w:eastAsia="標楷體" w:hAnsi="Times" w:cs="Times New Roman"/>
          <w:color w:val="000000" w:themeColor="text1"/>
        </w:rPr>
        <w:t xml:space="preserve">esponds to Points </w:t>
      </w:r>
      <w:r w:rsidRPr="005A087C">
        <w:rPr>
          <w:rFonts w:ascii="Times" w:eastAsia="標楷體" w:hAnsi="Times" w:cs="Times New Roman"/>
        </w:rPr>
        <w:t>36b and 37b in the Concluding Observations of the Initial Report of the Republic of China (Taiwan) on the CRPD.</w:t>
      </w:r>
    </w:p>
  </w:footnote>
  <w:footnote w:id="54">
    <w:p w14:paraId="010E066E" w14:textId="1A0274DD" w:rsidR="001C09C5" w:rsidRPr="0066443A" w:rsidRDefault="001C09C5" w:rsidP="0066443A">
      <w:pPr>
        <w:pStyle w:val="a9"/>
        <w:rPr>
          <w:rFonts w:ascii="Times" w:eastAsia="標楷體" w:hAnsi="Times" w:cs="Times New Roman"/>
        </w:rPr>
      </w:pPr>
      <w:r w:rsidRPr="005A087C">
        <w:rPr>
          <w:rStyle w:val="ab"/>
          <w:rFonts w:ascii="Times" w:hAnsi="Times" w:cs="Times New Roman"/>
        </w:rPr>
        <w:footnoteRef/>
      </w:r>
      <w:r w:rsidRPr="005A087C">
        <w:rPr>
          <w:rFonts w:ascii="Times" w:eastAsia="標楷體" w:hAnsi="Times" w:cs="Times New Roman"/>
        </w:rPr>
        <w:t xml:space="preserve"> Points 97(2) </w:t>
      </w:r>
      <w:r w:rsidRPr="005A087C">
        <w:rPr>
          <w:rFonts w:ascii="Times" w:eastAsia="標楷體" w:hAnsi="Times" w:cs="Times New Roman"/>
        </w:rPr>
        <w:softHyphen/>
        <w:t>–(4) r</w:t>
      </w:r>
      <w:r w:rsidRPr="005A087C">
        <w:rPr>
          <w:rFonts w:ascii="Times" w:eastAsia="標楷體" w:hAnsi="Times" w:cs="Times New Roman"/>
          <w:color w:val="000000" w:themeColor="text1"/>
        </w:rPr>
        <w:t xml:space="preserve">espond to Points </w:t>
      </w:r>
      <w:r w:rsidRPr="005A087C">
        <w:rPr>
          <w:rFonts w:ascii="Times" w:eastAsia="標楷體" w:hAnsi="Times" w:cs="Times New Roman"/>
        </w:rPr>
        <w:t>56b and 57b in the Concluding Observations of the Initial Report of the Republic of China (Taiwan) on the CRPD.</w:t>
      </w:r>
    </w:p>
  </w:footnote>
  <w:footnote w:id="55">
    <w:p w14:paraId="78D9E130" w14:textId="68728553" w:rsidR="001C09C5" w:rsidRPr="0066443A" w:rsidRDefault="001C09C5" w:rsidP="0066443A">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Points 98 and 99 </w:t>
      </w:r>
      <w:r w:rsidRPr="005A087C">
        <w:rPr>
          <w:rFonts w:ascii="Times" w:eastAsia="標楷體" w:hAnsi="Times" w:cs="Times New Roman"/>
          <w:color w:val="000000" w:themeColor="text1"/>
        </w:rPr>
        <w:t xml:space="preserve">respond to Points </w:t>
      </w:r>
      <w:r w:rsidRPr="005A087C">
        <w:rPr>
          <w:rFonts w:ascii="Times" w:eastAsia="標楷體" w:hAnsi="Times" w:cs="Times New Roman"/>
        </w:rPr>
        <w:t>38 and 39 in the Concluding Observations of the Initial Report of the Republic of China (Taiwan) on the CRPD.</w:t>
      </w:r>
    </w:p>
  </w:footnote>
  <w:footnote w:id="56">
    <w:p w14:paraId="325CB2E4" w14:textId="1729F328" w:rsidR="001C09C5" w:rsidRPr="00AF4FC2" w:rsidRDefault="001C09C5" w:rsidP="00AF4FC2">
      <w:pPr>
        <w:pStyle w:val="a9"/>
        <w:rPr>
          <w:rFonts w:ascii="Times" w:eastAsia="標楷體" w:hAnsi="Times" w:cs="Times New Roman"/>
          <w:szCs w:val="24"/>
        </w:rPr>
      </w:pPr>
      <w:r w:rsidRPr="005A087C">
        <w:rPr>
          <w:rStyle w:val="ab"/>
          <w:rFonts w:ascii="Times" w:hAnsi="Times"/>
        </w:rPr>
        <w:footnoteRef/>
      </w:r>
      <w:r w:rsidRPr="005A087C">
        <w:rPr>
          <w:rFonts w:ascii="Times" w:eastAsia="標楷體" w:hAnsi="Times" w:cs="Times New Roman" w:hint="eastAsia"/>
          <w:szCs w:val="24"/>
        </w:rPr>
        <w:t xml:space="preserve"> </w:t>
      </w:r>
      <w:r w:rsidRPr="005A087C">
        <w:rPr>
          <w:rFonts w:ascii="Times" w:eastAsia="標楷體" w:hAnsi="Times" w:cs="Times New Roman"/>
          <w:szCs w:val="24"/>
        </w:rPr>
        <w:t>Please refer to Point 218 of Article 25</w:t>
      </w:r>
      <w:r w:rsidR="00FC1FDD">
        <w:rPr>
          <w:rFonts w:ascii="Times" w:eastAsia="標楷體" w:hAnsi="Times" w:cs="Times New Roman"/>
          <w:szCs w:val="24"/>
        </w:rPr>
        <w:t xml:space="preserve">: </w:t>
      </w:r>
      <w:r w:rsidRPr="005A087C">
        <w:rPr>
          <w:rFonts w:ascii="Times" w:eastAsia="標楷體" w:hAnsi="Times" w:cs="Times New Roman"/>
          <w:szCs w:val="24"/>
        </w:rPr>
        <w:t>Health.</w:t>
      </w:r>
    </w:p>
  </w:footnote>
  <w:footnote w:id="57">
    <w:p w14:paraId="79432F47" w14:textId="06B568AA" w:rsidR="001C09C5" w:rsidRPr="007C2879" w:rsidRDefault="001C09C5" w:rsidP="007C2879">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w:t>
      </w:r>
      <w:r w:rsidRPr="005A087C">
        <w:rPr>
          <w:rFonts w:ascii="Times" w:eastAsia="標楷體" w:hAnsi="Times" w:cs="Times New Roman"/>
        </w:rPr>
        <w:t>R</w:t>
      </w:r>
      <w:r w:rsidRPr="005A087C">
        <w:rPr>
          <w:rFonts w:ascii="Times" w:eastAsia="標楷體" w:hAnsi="Times" w:cs="Times New Roman"/>
          <w:color w:val="000000" w:themeColor="text1"/>
        </w:rPr>
        <w:t xml:space="preserve">esponds to Points </w:t>
      </w:r>
      <w:r w:rsidRPr="005A087C">
        <w:rPr>
          <w:rFonts w:ascii="Times" w:eastAsia="標楷體" w:hAnsi="Times" w:cs="Times New Roman"/>
        </w:rPr>
        <w:t>40c and 41c in the Concluding Observations of the Initial Report of the Republic of China (Taiwan) on the CRPD.</w:t>
      </w:r>
    </w:p>
  </w:footnote>
  <w:footnote w:id="58">
    <w:p w14:paraId="2FDDC18E" w14:textId="3F61F0B1" w:rsidR="001C09C5" w:rsidRPr="007C2879" w:rsidRDefault="001C09C5" w:rsidP="00AF4FC2">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w:t>
      </w:r>
      <w:r w:rsidRPr="005A087C">
        <w:rPr>
          <w:rFonts w:ascii="Times" w:eastAsia="標楷體" w:hAnsi="Times" w:cs="Times New Roman"/>
        </w:rPr>
        <w:t>Points 104</w:t>
      </w:r>
      <w:r>
        <w:rPr>
          <w:rFonts w:ascii="Times" w:eastAsia="標楷體" w:hAnsi="Times" w:cs="Times New Roman"/>
        </w:rPr>
        <w:t>-</w:t>
      </w:r>
      <w:r w:rsidRPr="005A087C">
        <w:rPr>
          <w:rFonts w:ascii="Times" w:eastAsia="標楷體" w:hAnsi="Times" w:cs="Times New Roman"/>
        </w:rPr>
        <w:t>106 respond to</w:t>
      </w:r>
      <w:r w:rsidRPr="005A087C">
        <w:rPr>
          <w:rFonts w:ascii="Times" w:eastAsia="標楷體" w:hAnsi="Times" w:cs="Times New Roman"/>
          <w:color w:val="000000" w:themeColor="text1"/>
        </w:rPr>
        <w:t xml:space="preserve"> Points</w:t>
      </w:r>
      <w:r w:rsidRPr="005A087C">
        <w:rPr>
          <w:rFonts w:ascii="Times" w:eastAsia="標楷體" w:hAnsi="Times" w:cs="Times New Roman"/>
        </w:rPr>
        <w:t xml:space="preserve"> 40c and 41c in the Concluding Observations of the Initial Report of the Republic of China (Taiwan) on the CRPD.</w:t>
      </w:r>
    </w:p>
  </w:footnote>
  <w:footnote w:id="59">
    <w:p w14:paraId="18E7A4F5" w14:textId="6D038615" w:rsidR="001C09C5" w:rsidRPr="005A087C" w:rsidRDefault="001C09C5" w:rsidP="007C2879">
      <w:pPr>
        <w:pStyle w:val="a9"/>
        <w:rPr>
          <w:rFonts w:ascii="Times" w:eastAsia="標楷體" w:hAnsi="Times" w:cs="Times New Roman"/>
        </w:rPr>
      </w:pPr>
      <w:r w:rsidRPr="005A087C">
        <w:rPr>
          <w:rStyle w:val="ab"/>
          <w:rFonts w:ascii="Times"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P</w:t>
      </w:r>
      <w:r w:rsidRPr="005A087C">
        <w:rPr>
          <w:rFonts w:ascii="Times" w:eastAsia="標楷體" w:hAnsi="Times" w:cs="Times New Roman"/>
        </w:rPr>
        <w:t>oints 109 and 110 r</w:t>
      </w:r>
      <w:r w:rsidRPr="005A087C">
        <w:rPr>
          <w:rFonts w:ascii="Times" w:eastAsia="標楷體" w:hAnsi="Times" w:cs="Times New Roman"/>
          <w:color w:val="000000" w:themeColor="text1"/>
        </w:rPr>
        <w:t xml:space="preserve">espond to Points </w:t>
      </w:r>
      <w:r w:rsidRPr="005A087C">
        <w:rPr>
          <w:rFonts w:ascii="Times" w:eastAsia="標楷體" w:hAnsi="Times" w:cs="Times New Roman"/>
        </w:rPr>
        <w:t>40c and 41c in the Concluding Observations of the Initial Report of the Republic of China (Taiwan) on the CRPD.</w:t>
      </w:r>
    </w:p>
    <w:p w14:paraId="3FFEE3A4" w14:textId="77777777" w:rsidR="001C09C5" w:rsidRPr="005A087C" w:rsidRDefault="001C09C5" w:rsidP="00F370E0">
      <w:pPr>
        <w:pStyle w:val="a9"/>
        <w:rPr>
          <w:rFonts w:ascii="Times" w:hAnsi="Times" w:cs="Times New Roman"/>
        </w:rPr>
      </w:pPr>
      <w:r w:rsidRPr="005A087C">
        <w:rPr>
          <w:rFonts w:ascii="Times" w:eastAsia="標楷體" w:hAnsi="Times" w:cs="Times New Roman" w:hint="eastAsia"/>
        </w:rPr>
        <w:t>T</w:t>
      </w:r>
      <w:r w:rsidRPr="005A087C">
        <w:rPr>
          <w:rFonts w:ascii="Times" w:eastAsia="標楷體" w:hAnsi="Times" w:cs="Times New Roman"/>
        </w:rPr>
        <w:t xml:space="preserve">his point 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44c and 45c in the Concluding Observations of the Initial Report of the Republic of China (Taiwan) on the CRPD.</w:t>
      </w:r>
    </w:p>
  </w:footnote>
  <w:footnote w:id="60">
    <w:p w14:paraId="08C9CDC5" w14:textId="093E2B5C" w:rsidR="001C09C5" w:rsidRPr="005A087C" w:rsidRDefault="001C09C5" w:rsidP="007C2879">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P</w:t>
      </w:r>
      <w:r w:rsidRPr="005A087C">
        <w:rPr>
          <w:rFonts w:ascii="Times" w:eastAsia="標楷體" w:hAnsi="Times" w:cs="Times New Roman"/>
        </w:rPr>
        <w:t xml:space="preserve">oints 111 and 112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42a, 42b, 43a, and 43b in the Concluding Observations of the Initial Report of the Republic of China (Taiwan) on the CRPD.</w:t>
      </w:r>
    </w:p>
  </w:footnote>
  <w:footnote w:id="61">
    <w:p w14:paraId="234EFCFB" w14:textId="74F6895B" w:rsidR="001C09C5" w:rsidRPr="005A087C" w:rsidRDefault="001C09C5" w:rsidP="007C2879">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P</w:t>
      </w:r>
      <w:r w:rsidRPr="005A087C">
        <w:rPr>
          <w:rFonts w:ascii="Times" w:eastAsia="標楷體" w:hAnsi="Times" w:cs="Times New Roman"/>
        </w:rPr>
        <w:t xml:space="preserve">oints 115 and 116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42b and 43b in the Concluding Observations of the Initial Report of the Republic of China (Taiwan) on the CRPD.</w:t>
      </w:r>
    </w:p>
    <w:p w14:paraId="062B59B8" w14:textId="77777777" w:rsidR="001C09C5" w:rsidRPr="005A087C" w:rsidRDefault="001C09C5" w:rsidP="00F370E0">
      <w:pPr>
        <w:pStyle w:val="a9"/>
        <w:rPr>
          <w:rFonts w:ascii="Times" w:eastAsia="標楷體" w:hAnsi="Times" w:cs="Times New Roman"/>
        </w:rPr>
      </w:pPr>
      <w:r w:rsidRPr="005A087C">
        <w:rPr>
          <w:rFonts w:ascii="Times" w:eastAsia="標楷體" w:hAnsi="Times" w:cs="Times New Roman" w:hint="eastAsia"/>
        </w:rPr>
        <w:t>T</w:t>
      </w:r>
      <w:r w:rsidRPr="005A087C">
        <w:rPr>
          <w:rFonts w:ascii="Times" w:eastAsia="標楷體" w:hAnsi="Times" w:cs="Times New Roman"/>
        </w:rPr>
        <w:t xml:space="preserve">his point 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56d and 57d in the Concluding Observations of the Initial Report of the Republic of China (Taiwan) on the CRPD.</w:t>
      </w:r>
    </w:p>
  </w:footnote>
  <w:footnote w:id="62">
    <w:p w14:paraId="57835220" w14:textId="71C2DEA2" w:rsidR="001C09C5" w:rsidRPr="007C2879" w:rsidRDefault="001C09C5" w:rsidP="007C2879">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P</w:t>
      </w:r>
      <w:r w:rsidRPr="005A087C">
        <w:rPr>
          <w:rFonts w:ascii="Times" w:eastAsia="標楷體" w:hAnsi="Times" w:cs="Times New Roman"/>
        </w:rPr>
        <w:t xml:space="preserve">oints 119 and 120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44b and 45b in the Concluding Observations of the Initial Report of the Republic of China (Taiwan) on the CRPD.</w:t>
      </w:r>
    </w:p>
  </w:footnote>
  <w:footnote w:id="63">
    <w:p w14:paraId="7A6306C4" w14:textId="04553E31" w:rsidR="001C09C5" w:rsidRPr="00034669" w:rsidRDefault="001C09C5" w:rsidP="00034669">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P</w:t>
      </w:r>
      <w:r w:rsidRPr="005A087C">
        <w:rPr>
          <w:rFonts w:ascii="Times" w:eastAsia="標楷體" w:hAnsi="Times" w:cs="Times New Roman"/>
        </w:rPr>
        <w:t xml:space="preserve">oints 124 and 125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46 and 47 in the Concluding Observations of the Initial Report of the Republic of China (Taiwan) on the CRPD.</w:t>
      </w:r>
    </w:p>
  </w:footnote>
  <w:footnote w:id="64">
    <w:p w14:paraId="1A5368C8" w14:textId="01AB1648" w:rsidR="001C09C5" w:rsidRPr="005A087C" w:rsidRDefault="001C09C5" w:rsidP="00034669">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The Act is scheduled to be amended and announced in 2021.</w:t>
      </w:r>
    </w:p>
  </w:footnote>
  <w:footnote w:id="65">
    <w:p w14:paraId="1F99B4C7" w14:textId="79DEAFBA" w:rsidR="001C09C5" w:rsidRPr="00034669" w:rsidRDefault="001C09C5" w:rsidP="00034669">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P</w:t>
      </w:r>
      <w:r w:rsidRPr="005A087C">
        <w:rPr>
          <w:rFonts w:ascii="Times" w:eastAsia="標楷體" w:hAnsi="Times" w:cs="Times New Roman"/>
        </w:rPr>
        <w:t xml:space="preserve">oints 128–131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46 and 47 in the Concluding Observations of the Initial Report of the Republic of China (Taiwan) on the CRPD.</w:t>
      </w:r>
    </w:p>
  </w:footnote>
  <w:footnote w:id="66">
    <w:p w14:paraId="050D3D89" w14:textId="19787014" w:rsidR="001C09C5" w:rsidRPr="00034669" w:rsidRDefault="001C09C5" w:rsidP="00034669">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w:t>
      </w:r>
      <w:r w:rsidRPr="005A087C">
        <w:rPr>
          <w:rFonts w:ascii="Times" w:eastAsia="標楷體" w:hAnsi="Times" w:cs="Times New Roman"/>
        </w:rPr>
        <w:t xml:space="preserve">This point responds to </w:t>
      </w:r>
      <w:r w:rsidRPr="005A087C">
        <w:rPr>
          <w:rFonts w:ascii="Times" w:eastAsia="標楷體" w:hAnsi="Times" w:cs="Times New Roman"/>
          <w:color w:val="000000" w:themeColor="text1"/>
        </w:rPr>
        <w:t>Points 40a, 40b, 41a, and 41b</w:t>
      </w:r>
      <w:r w:rsidRPr="005A087C">
        <w:rPr>
          <w:rFonts w:ascii="Times" w:eastAsia="標楷體" w:hAnsi="Times" w:cs="Times New Roman"/>
        </w:rPr>
        <w:t xml:space="preserve"> in the Concluding Observations of the Initial Report of the Republic of China (Taiwan) on the CRPD.</w:t>
      </w:r>
    </w:p>
  </w:footnote>
  <w:footnote w:id="67">
    <w:p w14:paraId="6FC5A269" w14:textId="2CCA75E4" w:rsidR="001C09C5" w:rsidRPr="00532C5C" w:rsidRDefault="001C09C5" w:rsidP="00532C5C">
      <w:pPr>
        <w:pStyle w:val="a9"/>
        <w:rPr>
          <w:rFonts w:ascii="Times" w:eastAsia="標楷體" w:hAnsi="Times" w:cs="Times New Roman"/>
          <w:szCs w:val="24"/>
        </w:rPr>
      </w:pPr>
      <w:r w:rsidRPr="005A087C">
        <w:rPr>
          <w:rStyle w:val="ab"/>
          <w:rFonts w:ascii="Times" w:hAnsi="Times"/>
        </w:rPr>
        <w:footnoteRef/>
      </w:r>
      <w:r w:rsidRPr="005A087C">
        <w:rPr>
          <w:rFonts w:ascii="Times" w:eastAsia="標楷體" w:hAnsi="Times" w:cs="Times New Roman" w:hint="eastAsia"/>
          <w:szCs w:val="24"/>
        </w:rPr>
        <w:t xml:space="preserve"> </w:t>
      </w:r>
      <w:r w:rsidRPr="005A087C">
        <w:rPr>
          <w:rFonts w:ascii="Times" w:eastAsia="標楷體" w:hAnsi="Times" w:cs="Times New Roman" w:hint="eastAsia"/>
        </w:rPr>
        <w:t>P</w:t>
      </w:r>
      <w:r w:rsidRPr="005A087C">
        <w:rPr>
          <w:rFonts w:ascii="Times" w:eastAsia="標楷體" w:hAnsi="Times" w:cs="Times New Roman"/>
        </w:rPr>
        <w:t xml:space="preserve">oints 132 and 133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48 and 49 in the Concluding Observations of the Initial Report of the Republic of China (Taiwan) on the CRPD.</w:t>
      </w:r>
    </w:p>
  </w:footnote>
  <w:footnote w:id="68">
    <w:p w14:paraId="345F20D0" w14:textId="2B5B81C1" w:rsidR="00C47DFA" w:rsidRDefault="001C09C5" w:rsidP="00532C5C">
      <w:pPr>
        <w:pStyle w:val="a9"/>
        <w:ind w:left="284" w:hangingChars="142" w:hanging="284"/>
        <w:rPr>
          <w:rFonts w:ascii="Times" w:eastAsia="標楷體" w:hAnsi="Times" w:cs="Times New Roman"/>
          <w:szCs w:val="24"/>
        </w:rPr>
      </w:pPr>
      <w:r w:rsidRPr="005A087C">
        <w:rPr>
          <w:rStyle w:val="ab"/>
          <w:rFonts w:ascii="Times" w:hAnsi="Times" w:cs="Times New Roman"/>
          <w:color w:val="000000" w:themeColor="text1"/>
        </w:rPr>
        <w:footnoteRef/>
      </w:r>
      <w:r w:rsidR="00C47DFA">
        <w:rPr>
          <w:rFonts w:ascii="Times" w:hAnsi="Times" w:cs="Times New Roman"/>
          <w:color w:val="000000" w:themeColor="text1"/>
        </w:rPr>
        <w:t xml:space="preserve"> </w:t>
      </w:r>
      <w:r w:rsidRPr="00532C5C">
        <w:rPr>
          <w:rFonts w:ascii="Times" w:eastAsia="標楷體" w:hAnsi="Times" w:cs="Times New Roman" w:hint="eastAsia"/>
          <w:szCs w:val="24"/>
        </w:rPr>
        <w:t>F</w:t>
      </w:r>
      <w:r w:rsidRPr="00532C5C">
        <w:rPr>
          <w:rFonts w:ascii="Times" w:eastAsia="標楷體" w:hAnsi="Times" w:cs="Times New Roman"/>
          <w:szCs w:val="24"/>
        </w:rPr>
        <w:t xml:space="preserve">or regulations protecting the freedom of </w:t>
      </w:r>
      <w:r w:rsidRPr="00532C5C">
        <w:rPr>
          <w:rFonts w:ascii="Times New Roman" w:eastAsia="標楷體" w:hAnsi="Times New Roman" w:cs="Times New Roman"/>
          <w:szCs w:val="24"/>
        </w:rPr>
        <w:t>people</w:t>
      </w:r>
      <w:r w:rsidRPr="00532C5C">
        <w:rPr>
          <w:rFonts w:ascii="Times" w:eastAsia="標楷體" w:hAnsi="Times" w:cs="Times New Roman"/>
          <w:szCs w:val="24"/>
        </w:rPr>
        <w:t xml:space="preserve"> with psychiatric disorders, please refer to </w:t>
      </w:r>
    </w:p>
    <w:p w14:paraId="5F3E466F" w14:textId="348D861F" w:rsidR="001C09C5" w:rsidRPr="005A087C" w:rsidRDefault="001C09C5" w:rsidP="00532C5C">
      <w:pPr>
        <w:pStyle w:val="a9"/>
        <w:ind w:left="284" w:hangingChars="142" w:hanging="284"/>
        <w:rPr>
          <w:rFonts w:ascii="Times" w:hAnsi="Times" w:cs="Times New Roman"/>
        </w:rPr>
      </w:pPr>
      <w:r w:rsidRPr="00532C5C">
        <w:rPr>
          <w:rFonts w:ascii="Times" w:eastAsia="標楷體" w:hAnsi="Times" w:cs="Times New Roman"/>
          <w:szCs w:val="24"/>
        </w:rPr>
        <w:t>Article 14.</w:t>
      </w:r>
    </w:p>
  </w:footnote>
  <w:footnote w:id="69">
    <w:p w14:paraId="272E71DF" w14:textId="5C35C52C" w:rsidR="001C09C5" w:rsidRPr="00EC76F8" w:rsidRDefault="001C09C5" w:rsidP="00EC76F8">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w:t>
      </w:r>
      <w:r w:rsidRPr="005A087C">
        <w:rPr>
          <w:rFonts w:ascii="Times" w:eastAsia="標楷體" w:hAnsi="Times" w:cs="Times New Roman"/>
        </w:rPr>
        <w:t xml:space="preserve">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50 and 51 in the Concluding Observations of the Initial Report of the Republic of China (Taiwan) on the CRPD.</w:t>
      </w:r>
    </w:p>
  </w:footnote>
  <w:footnote w:id="70">
    <w:p w14:paraId="0AB81332" w14:textId="42834D64" w:rsidR="001C09C5" w:rsidRPr="005A087C" w:rsidRDefault="001C09C5" w:rsidP="00EC76F8">
      <w:pPr>
        <w:pStyle w:val="a9"/>
        <w:ind w:left="252" w:hangingChars="126" w:hanging="252"/>
        <w:jc w:val="both"/>
        <w:rPr>
          <w:rFonts w:ascii="Times" w:hAnsi="Times"/>
        </w:rPr>
      </w:pPr>
      <w:r w:rsidRPr="005A087C">
        <w:rPr>
          <w:rStyle w:val="ab"/>
          <w:rFonts w:ascii="Times" w:hAnsi="Times" w:cs="Times New Roman"/>
        </w:rPr>
        <w:footnoteRef/>
      </w:r>
      <w:r w:rsidRPr="005A087C">
        <w:rPr>
          <w:rFonts w:ascii="Times" w:eastAsia="標楷體" w:hAnsi="Times" w:cs="Times New Roman" w:hint="eastAsia"/>
        </w:rPr>
        <w:t xml:space="preserve"> </w:t>
      </w:r>
      <w:r w:rsidRPr="005A087C">
        <w:rPr>
          <w:rFonts w:ascii="Times" w:eastAsia="標楷體" w:hAnsi="Times" w:cs="Times New Roman"/>
        </w:rPr>
        <w:t xml:space="preserve">Pursuant to the </w:t>
      </w:r>
      <w:r w:rsidRPr="002153DE">
        <w:rPr>
          <w:rFonts w:ascii="Times" w:eastAsia="標楷體" w:hAnsi="Times" w:cs="Times New Roman"/>
          <w:iCs/>
        </w:rPr>
        <w:t>Budget Act</w:t>
      </w:r>
      <w:r w:rsidRPr="005A087C">
        <w:rPr>
          <w:rFonts w:ascii="Times" w:eastAsia="標楷體" w:hAnsi="Times" w:cs="Times New Roman"/>
        </w:rPr>
        <w:t xml:space="preserve">, governmental (unit) budgets and budgets for funds (subordinate unit) are regarded as parts of the general budget. Therefore, their annual revenues and annual expenditures must be compiled into the general budget and handled according to the planning, compilation, review, formation, and implementation procedures specified in the act. As per the </w:t>
      </w:r>
      <w:r w:rsidRPr="002153DE">
        <w:rPr>
          <w:rFonts w:ascii="Times" w:eastAsia="標楷體" w:hAnsi="Times" w:cs="Times New Roman"/>
          <w:iCs/>
        </w:rPr>
        <w:t>Directions for Utilization and Management of Public Welfare Lottery Feedback Funds</w:t>
      </w:r>
      <w:r w:rsidRPr="005A087C">
        <w:rPr>
          <w:rFonts w:ascii="Times" w:eastAsia="標楷體" w:hAnsi="Times" w:cs="Times New Roman"/>
        </w:rPr>
        <w:t xml:space="preserve">, all feedback funds </w:t>
      </w:r>
      <w:r>
        <w:rPr>
          <w:rFonts w:ascii="Times" w:eastAsia="標楷體" w:hAnsi="Times" w:cs="Times New Roman"/>
        </w:rPr>
        <w:t>from public welfare</w:t>
      </w:r>
      <w:r w:rsidRPr="005A087C">
        <w:rPr>
          <w:rFonts w:ascii="Times" w:eastAsia="標楷體" w:hAnsi="Times" w:cs="Times New Roman"/>
        </w:rPr>
        <w:t xml:space="preserve"> lotteries shall be compiled into the budget of annual revenues by the Ministry of </w:t>
      </w:r>
      <w:r>
        <w:rPr>
          <w:rFonts w:ascii="Times" w:eastAsia="標楷體" w:hAnsi="Times" w:cs="Times New Roman"/>
        </w:rPr>
        <w:t>Finance</w:t>
      </w:r>
      <w:r w:rsidRPr="005A087C">
        <w:rPr>
          <w:rFonts w:ascii="Times" w:eastAsia="標楷體" w:hAnsi="Times" w:cs="Times New Roman"/>
        </w:rPr>
        <w:t xml:space="preserve">. Subsequently, authorities shall compile the funds into their </w:t>
      </w:r>
      <w:r>
        <w:rPr>
          <w:rFonts w:ascii="Times" w:eastAsia="標楷體" w:hAnsi="Times" w:cs="Times New Roman"/>
        </w:rPr>
        <w:t xml:space="preserve">annual </w:t>
      </w:r>
      <w:r w:rsidRPr="005A087C">
        <w:rPr>
          <w:rFonts w:ascii="Times" w:eastAsia="標楷體" w:hAnsi="Times" w:cs="Times New Roman"/>
        </w:rPr>
        <w:t xml:space="preserve">budget and apply these funds </w:t>
      </w:r>
      <w:r>
        <w:rPr>
          <w:rFonts w:ascii="Times" w:eastAsia="標楷體" w:hAnsi="Times" w:cs="Times New Roman"/>
        </w:rPr>
        <w:t xml:space="preserve">for </w:t>
      </w:r>
      <w:r w:rsidRPr="005A087C">
        <w:rPr>
          <w:rFonts w:ascii="Times" w:eastAsia="標楷體" w:hAnsi="Times" w:cs="Times New Roman"/>
        </w:rPr>
        <w:t>the exclusive purposes</w:t>
      </w:r>
      <w:r w:rsidRPr="005A087C">
        <w:rPr>
          <w:rFonts w:ascii="Times" w:eastAsia="標楷體" w:hAnsi="Times" w:cs="Times New Roman" w:hint="eastAsia"/>
        </w:rPr>
        <w:t xml:space="preserve"> </w:t>
      </w:r>
      <w:r w:rsidRPr="005A087C">
        <w:rPr>
          <w:rFonts w:ascii="Times" w:eastAsia="標楷體" w:hAnsi="Times" w:cs="Times New Roman"/>
        </w:rPr>
        <w:t xml:space="preserve">of employment services for underprivileged groups, social welfare promotion, research and development of </w:t>
      </w:r>
      <w:r>
        <w:rPr>
          <w:rFonts w:ascii="Times" w:eastAsia="標楷體" w:hAnsi="Times" w:cs="Times New Roman"/>
        </w:rPr>
        <w:t>public welfare</w:t>
      </w:r>
      <w:r w:rsidRPr="005A087C">
        <w:rPr>
          <w:rFonts w:ascii="Times" w:eastAsia="標楷體" w:hAnsi="Times" w:cs="Times New Roman"/>
        </w:rPr>
        <w:t xml:space="preserve"> lottery feedback systems, and image building. Since 2007, competen</w:t>
      </w:r>
      <w:r>
        <w:rPr>
          <w:rFonts w:ascii="Times" w:eastAsia="標楷體" w:hAnsi="Times" w:cs="Times New Roman"/>
        </w:rPr>
        <w:t>t</w:t>
      </w:r>
      <w:r w:rsidRPr="005A087C">
        <w:rPr>
          <w:rFonts w:ascii="Times" w:eastAsia="標楷體" w:hAnsi="Times" w:cs="Times New Roman"/>
        </w:rPr>
        <w:t xml:space="preserve"> authorities </w:t>
      </w:r>
      <w:r>
        <w:rPr>
          <w:rFonts w:ascii="Times" w:eastAsia="標楷體" w:hAnsi="Times" w:cs="Times New Roman"/>
        </w:rPr>
        <w:t xml:space="preserve">of all types </w:t>
      </w:r>
      <w:r w:rsidRPr="005A087C">
        <w:rPr>
          <w:rFonts w:ascii="Times" w:eastAsia="標楷體" w:hAnsi="Times" w:cs="Times New Roman"/>
        </w:rPr>
        <w:t xml:space="preserve">have been granted specific allowances. Therefore, the </w:t>
      </w:r>
      <w:r>
        <w:rPr>
          <w:rFonts w:ascii="Times" w:eastAsia="標楷體" w:hAnsi="Times" w:cs="Times New Roman"/>
        </w:rPr>
        <w:t>Public Welfare</w:t>
      </w:r>
      <w:r w:rsidRPr="005A087C">
        <w:rPr>
          <w:rFonts w:ascii="Times" w:eastAsia="標楷體" w:hAnsi="Times" w:cs="Times New Roman"/>
        </w:rPr>
        <w:t xml:space="preserve"> Lottery Fund constitutes a resource </w:t>
      </w:r>
      <w:r>
        <w:rPr>
          <w:rFonts w:ascii="Times" w:eastAsia="標楷體" w:hAnsi="Times" w:cs="Times New Roman"/>
        </w:rPr>
        <w:t xml:space="preserve">for </w:t>
      </w:r>
      <w:r w:rsidRPr="005A087C">
        <w:rPr>
          <w:rFonts w:ascii="Times" w:eastAsia="標楷體" w:hAnsi="Times" w:cs="Times New Roman"/>
        </w:rPr>
        <w:t>the entire government budget with a legitimate and stable funding source.</w:t>
      </w:r>
    </w:p>
  </w:footnote>
  <w:footnote w:id="71">
    <w:p w14:paraId="19420390" w14:textId="79DEA397" w:rsidR="001C09C5" w:rsidRPr="00EC76F8" w:rsidRDefault="001C09C5" w:rsidP="00EC76F8">
      <w:pPr>
        <w:pStyle w:val="a9"/>
        <w:rPr>
          <w:rFonts w:ascii="Times" w:eastAsia="標楷體" w:hAnsi="Times" w:cs="Times New Roman"/>
          <w:szCs w:val="24"/>
        </w:rPr>
      </w:pPr>
      <w:r w:rsidRPr="005A087C">
        <w:rPr>
          <w:rStyle w:val="ab"/>
          <w:rFonts w:ascii="Times" w:eastAsia="標楷體" w:hAnsi="Times" w:cs="Times New Roman"/>
        </w:rPr>
        <w:footnoteRef/>
      </w:r>
      <w:r w:rsidRPr="005A087C">
        <w:rPr>
          <w:rFonts w:ascii="Times" w:eastAsia="標楷體" w:hAnsi="Times" w:cs="Times New Roman"/>
        </w:rPr>
        <w:t xml:space="preserve"> 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52c and 53c in the Concluding Observations of the Initial Report of the Republic of China (Taiwan) on the CRPD.</w:t>
      </w:r>
    </w:p>
  </w:footnote>
  <w:footnote w:id="72">
    <w:p w14:paraId="42BEB092" w14:textId="0DBA3909" w:rsidR="001C09C5" w:rsidRPr="0066357F" w:rsidRDefault="001C09C5" w:rsidP="00EC76F8">
      <w:pPr>
        <w:pStyle w:val="a9"/>
        <w:rPr>
          <w:rFonts w:ascii="Times" w:eastAsia="標楷體" w:hAnsi="Times" w:cs="Times New Roman"/>
          <w:szCs w:val="24"/>
        </w:rPr>
      </w:pPr>
      <w:r w:rsidRPr="005A087C">
        <w:rPr>
          <w:rStyle w:val="ab"/>
          <w:rFonts w:ascii="Times" w:eastAsia="標楷體" w:hAnsi="Times" w:cs="Times New Roman"/>
        </w:rPr>
        <w:footnoteRef/>
      </w:r>
      <w:r w:rsidRPr="005A087C">
        <w:rPr>
          <w:rFonts w:ascii="Times" w:eastAsia="標楷體" w:hAnsi="Times" w:cs="Times New Roman"/>
        </w:rPr>
        <w:t xml:space="preserve"> Responds to </w:t>
      </w:r>
      <w:r w:rsidRPr="005A087C">
        <w:rPr>
          <w:rFonts w:ascii="Times" w:eastAsia="標楷體" w:hAnsi="Times" w:cs="Times New Roman"/>
          <w:color w:val="000000" w:themeColor="text1"/>
        </w:rPr>
        <w:t>Points</w:t>
      </w:r>
      <w:r w:rsidRPr="005A087C">
        <w:rPr>
          <w:rFonts w:ascii="Times" w:eastAsia="標楷體" w:hAnsi="Times" w:cs="Times New Roman"/>
        </w:rPr>
        <w:t xml:space="preserve"> 52c and 53c in the Concluding Observations of the Initial Report of the Republic of China (Taiwan) on the CRPD.</w:t>
      </w:r>
    </w:p>
  </w:footnote>
  <w:footnote w:id="73">
    <w:p w14:paraId="6FBC63BB" w14:textId="2F262645" w:rsidR="001C09C5" w:rsidRPr="005A087C" w:rsidRDefault="001C09C5" w:rsidP="00EC76F8">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hint="eastAsia"/>
        </w:rPr>
        <w:t xml:space="preserve"> </w:t>
      </w:r>
      <w:r w:rsidRPr="005A087C">
        <w:rPr>
          <w:rFonts w:ascii="Times" w:eastAsia="標楷體" w:hAnsi="Times" w:cs="Times New Roman" w:hint="eastAsia"/>
        </w:rPr>
        <w:t>P</w:t>
      </w:r>
      <w:r w:rsidRPr="005A087C">
        <w:rPr>
          <w:rFonts w:ascii="Times" w:eastAsia="標楷體" w:hAnsi="Times" w:cs="Times New Roman"/>
        </w:rPr>
        <w:t xml:space="preserve">oints 140 and 141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52a, 52b, 53a, and 53b in the Concluding Observations of the Initial Report of the Republic of China (Taiwan) on the CRPD.</w:t>
      </w:r>
    </w:p>
  </w:footnote>
  <w:footnote w:id="74">
    <w:p w14:paraId="77B12A46" w14:textId="68B5EA61" w:rsidR="001C09C5" w:rsidRPr="00EC76F8" w:rsidRDefault="001C09C5" w:rsidP="00EC76F8">
      <w:pPr>
        <w:pStyle w:val="a9"/>
        <w:rPr>
          <w:rFonts w:ascii="Times" w:eastAsia="標楷體" w:hAnsi="Times" w:cs="Times New Roman"/>
          <w:szCs w:val="24"/>
        </w:rPr>
      </w:pPr>
      <w:r w:rsidRPr="005A087C">
        <w:rPr>
          <w:rStyle w:val="ab"/>
          <w:rFonts w:ascii="Times" w:eastAsia="標楷體" w:hAnsi="Times" w:cs="Times New Roman"/>
        </w:rPr>
        <w:footnoteRef/>
      </w:r>
      <w:r w:rsidRPr="005A087C">
        <w:rPr>
          <w:rFonts w:ascii="Times" w:eastAsia="標楷體" w:hAnsi="Times" w:hint="eastAsia"/>
        </w:rPr>
        <w:t xml:space="preserve"> </w:t>
      </w:r>
      <w:r w:rsidRPr="005A087C">
        <w:rPr>
          <w:rFonts w:ascii="Times" w:eastAsia="標楷體" w:hAnsi="Times" w:cs="Times New Roman"/>
        </w:rPr>
        <w:t xml:space="preserve">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52a and 53a in the Concluding Observations of the Initial Report of the Republic of China (Taiwan) on the CRPD.</w:t>
      </w:r>
    </w:p>
  </w:footnote>
  <w:footnote w:id="75">
    <w:p w14:paraId="38FCC356" w14:textId="423CBDC9" w:rsidR="001C09C5" w:rsidRPr="005A087C" w:rsidRDefault="001C09C5" w:rsidP="00EC76F8">
      <w:pPr>
        <w:pStyle w:val="a9"/>
        <w:rPr>
          <w:rFonts w:ascii="Times" w:eastAsia="標楷體" w:hAnsi="Times" w:cs="Times New Roman"/>
          <w:szCs w:val="24"/>
        </w:rPr>
      </w:pPr>
      <w:r w:rsidRPr="005A087C">
        <w:rPr>
          <w:rStyle w:val="ab"/>
          <w:rFonts w:ascii="Times" w:hAnsi="Times" w:cs="Times New Roman"/>
        </w:rPr>
        <w:footnoteRef/>
      </w:r>
      <w:r w:rsidRPr="005A087C">
        <w:rPr>
          <w:rFonts w:ascii="Times" w:eastAsia="標楷體" w:hAnsi="Times" w:cs="Times New Roman" w:hint="eastAsia"/>
          <w:szCs w:val="24"/>
          <w:lang w:val="en-GB"/>
        </w:rPr>
        <w:t xml:space="preserve"> </w:t>
      </w:r>
      <w:r w:rsidRPr="005A087C">
        <w:rPr>
          <w:rFonts w:ascii="Times" w:eastAsia="標楷體" w:hAnsi="Times" w:cs="Times New Roman" w:hint="eastAsia"/>
          <w:szCs w:val="24"/>
        </w:rPr>
        <w:t>P</w:t>
      </w:r>
      <w:r w:rsidRPr="005A087C">
        <w:rPr>
          <w:rFonts w:ascii="Times" w:eastAsia="標楷體" w:hAnsi="Times" w:cs="Times New Roman"/>
          <w:szCs w:val="24"/>
        </w:rPr>
        <w:t>oints 142</w:t>
      </w:r>
      <w:r w:rsidR="00C47DFA">
        <w:rPr>
          <w:rFonts w:ascii="Times" w:eastAsia="標楷體" w:hAnsi="Times" w:cs="Times New Roman"/>
          <w:szCs w:val="24"/>
        </w:rPr>
        <w:t>-</w:t>
      </w:r>
      <w:r w:rsidRPr="005A087C">
        <w:rPr>
          <w:rFonts w:ascii="Times" w:eastAsia="標楷體" w:hAnsi="Times" w:cs="Times New Roman"/>
          <w:szCs w:val="24"/>
        </w:rPr>
        <w:t xml:space="preserve">144 </w:t>
      </w:r>
      <w:r w:rsidRPr="005A087C">
        <w:rPr>
          <w:rFonts w:ascii="Times" w:eastAsia="標楷體" w:hAnsi="Times" w:cs="Times New Roman"/>
        </w:rPr>
        <w:t>respond to Points 52a and 53a in the Concluding Observations of the Initial Report of the Republic of China (Taiwan) on the CRPD.</w:t>
      </w:r>
    </w:p>
  </w:footnote>
  <w:footnote w:id="76">
    <w:p w14:paraId="3A3A1FB2" w14:textId="43A4B018" w:rsidR="001C09C5" w:rsidRPr="00DD3E83" w:rsidRDefault="001C09C5" w:rsidP="00DD3E83">
      <w:pPr>
        <w:pStyle w:val="a9"/>
        <w:rPr>
          <w:rFonts w:ascii="Times" w:eastAsia="標楷體" w:hAnsi="Times" w:cs="Times New Roman"/>
          <w:szCs w:val="24"/>
        </w:rPr>
      </w:pPr>
      <w:r w:rsidRPr="005A087C">
        <w:rPr>
          <w:rStyle w:val="ab"/>
          <w:rFonts w:ascii="Times" w:eastAsia="標楷體" w:hAnsi="Times" w:cs="Times New Roman"/>
        </w:rPr>
        <w:footnoteRef/>
      </w:r>
      <w:r w:rsidRPr="005A087C">
        <w:rPr>
          <w:rFonts w:ascii="Times" w:eastAsia="標楷體" w:hAnsi="Times" w:hint="eastAsia"/>
        </w:rPr>
        <w:t xml:space="preserve"> </w:t>
      </w:r>
      <w:r w:rsidRPr="005A087C">
        <w:rPr>
          <w:rFonts w:ascii="Times" w:eastAsia="標楷體" w:hAnsi="Times" w:cs="Times New Roman" w:hint="eastAsia"/>
        </w:rPr>
        <w:t>P</w:t>
      </w:r>
      <w:r w:rsidRPr="005A087C">
        <w:rPr>
          <w:rFonts w:ascii="Times" w:eastAsia="標楷體" w:hAnsi="Times" w:cs="Times New Roman"/>
        </w:rPr>
        <w:t xml:space="preserve">oints 146 and 147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52a and 53a in the Concluding Observations of the Initial Report of the Republic of China (Taiwan) on the CRPD.</w:t>
      </w:r>
    </w:p>
  </w:footnote>
  <w:footnote w:id="77">
    <w:p w14:paraId="32F1EDBE" w14:textId="6470CC2B" w:rsidR="001C09C5" w:rsidRPr="005A087C" w:rsidRDefault="001C09C5" w:rsidP="00DD3E83">
      <w:pPr>
        <w:pStyle w:val="a9"/>
        <w:rPr>
          <w:rFonts w:ascii="Times" w:eastAsia="標楷體" w:hAnsi="Times" w:cs="Times New Roman"/>
          <w:szCs w:val="24"/>
        </w:rPr>
      </w:pPr>
      <w:r w:rsidRPr="005A087C">
        <w:rPr>
          <w:rStyle w:val="ab"/>
          <w:rFonts w:ascii="Times" w:hAnsi="Times" w:cs="Times New Roman"/>
        </w:rPr>
        <w:footnoteRef/>
      </w:r>
      <w:r w:rsidRPr="005A087C">
        <w:rPr>
          <w:rFonts w:ascii="Times" w:eastAsia="標楷體" w:hAnsi="Times" w:hint="eastAsia"/>
        </w:rPr>
        <w:t xml:space="preserve"> </w:t>
      </w:r>
      <w:r w:rsidRPr="005A087C">
        <w:rPr>
          <w:rFonts w:ascii="Times" w:eastAsia="標楷體" w:hAnsi="Times" w:cs="Times New Roman"/>
        </w:rPr>
        <w:t xml:space="preserve">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52b and 53b in the Concluding Observations of the Initial Report of the Republic of China (Taiwan) on the CRPD.</w:t>
      </w:r>
    </w:p>
  </w:footnote>
  <w:footnote w:id="78">
    <w:p w14:paraId="11DA8C83" w14:textId="2F49944C" w:rsidR="001C09C5" w:rsidRPr="005A087C" w:rsidRDefault="001C09C5" w:rsidP="00832EC2">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hint="eastAsia"/>
        </w:rPr>
        <w:t xml:space="preserve"> P</w:t>
      </w:r>
      <w:r w:rsidRPr="005A087C">
        <w:rPr>
          <w:rFonts w:ascii="Times" w:eastAsia="標楷體" w:hAnsi="Times" w:cs="Times New Roman"/>
        </w:rPr>
        <w:t>oints 153</w:t>
      </w:r>
      <w:r>
        <w:rPr>
          <w:rFonts w:ascii="Times" w:eastAsia="標楷體" w:hAnsi="Times" w:cs="Times New Roman"/>
        </w:rPr>
        <w:t>-</w:t>
      </w:r>
      <w:r w:rsidRPr="005A087C">
        <w:rPr>
          <w:rFonts w:ascii="Times" w:eastAsia="標楷體" w:hAnsi="Times" w:cs="Times New Roman"/>
        </w:rPr>
        <w:t xml:space="preserve">158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54a and 55a in the Concluding Observations of the Initial Report of the Republic of China (Taiwan) on the CRPD.</w:t>
      </w:r>
    </w:p>
  </w:footnote>
  <w:footnote w:id="79">
    <w:p w14:paraId="011F7532" w14:textId="09FD8630" w:rsidR="001C09C5" w:rsidRPr="007B70BC" w:rsidRDefault="001C09C5" w:rsidP="007B70BC">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54a and 55a in the Concluding Observations of the Initial Report of the Republic of China (Taiwan) on the CRPD.</w:t>
      </w:r>
    </w:p>
  </w:footnote>
  <w:footnote w:id="80">
    <w:p w14:paraId="49EEE50A" w14:textId="76C04C9D" w:rsidR="001C09C5" w:rsidRPr="004B169E" w:rsidRDefault="001C09C5" w:rsidP="00973F3D">
      <w:pPr>
        <w:pStyle w:val="a9"/>
        <w:rPr>
          <w:rFonts w:ascii="Times" w:eastAsia="標楷體" w:hAnsi="Times" w:cs="Times New Roman"/>
        </w:rPr>
      </w:pPr>
      <w:r w:rsidRPr="004B169E">
        <w:rPr>
          <w:rStyle w:val="ab"/>
          <w:rFonts w:ascii="Times" w:eastAsia="標楷體" w:hAnsi="Times" w:cs="Times New Roman"/>
        </w:rPr>
        <w:footnoteRef/>
      </w:r>
      <w:r w:rsidRPr="004B169E">
        <w:rPr>
          <w:rFonts w:ascii="Times" w:eastAsia="標楷體" w:hAnsi="Times" w:cs="Times New Roman" w:hint="eastAsia"/>
        </w:rPr>
        <w:t xml:space="preserve"> </w:t>
      </w:r>
      <w:r w:rsidRPr="005A087C">
        <w:rPr>
          <w:rFonts w:ascii="Times" w:eastAsia="標楷體" w:hAnsi="Times" w:cs="Times New Roman" w:hint="eastAsia"/>
        </w:rPr>
        <w:t>P</w:t>
      </w:r>
      <w:r w:rsidRPr="005A087C">
        <w:rPr>
          <w:rFonts w:ascii="Times" w:eastAsia="標楷體" w:hAnsi="Times" w:cs="Times New Roman"/>
        </w:rPr>
        <w:t xml:space="preserve">oints 162 and 163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54b and 55b in the Concluding Observations of the Initial Report of the Republic of China (Taiwan) on the CRPD.</w:t>
      </w:r>
    </w:p>
  </w:footnote>
  <w:footnote w:id="81">
    <w:p w14:paraId="67FA4D69" w14:textId="76A2F59A" w:rsidR="001C09C5" w:rsidRPr="005A087C" w:rsidRDefault="001C09C5" w:rsidP="00EF7B5E">
      <w:pPr>
        <w:pStyle w:val="a9"/>
        <w:ind w:left="284" w:hangingChars="142" w:hanging="284"/>
        <w:rPr>
          <w:rFonts w:ascii="Times" w:eastAsia="標楷體" w:hAnsi="Times" w:cs="Times New Roman"/>
          <w:color w:val="000000" w:themeColor="text1"/>
        </w:rPr>
      </w:pPr>
      <w:r w:rsidRPr="005A087C">
        <w:rPr>
          <w:rStyle w:val="ab"/>
          <w:rFonts w:ascii="Times" w:eastAsia="標楷體" w:hAnsi="Times" w:cs="Times New Roman"/>
        </w:rPr>
        <w:footnoteRef/>
      </w:r>
      <w:r w:rsidRPr="005A087C">
        <w:rPr>
          <w:rFonts w:ascii="Times" w:eastAsia="標楷體" w:hAnsi="Times" w:cs="Times New Roman" w:hint="eastAsia"/>
        </w:rPr>
        <w:t xml:space="preserve"> P</w:t>
      </w:r>
      <w:r w:rsidRPr="005A087C">
        <w:rPr>
          <w:rFonts w:ascii="Times" w:eastAsia="標楷體" w:hAnsi="Times" w:cs="Times New Roman"/>
        </w:rPr>
        <w:t xml:space="preserve">oints 165 and 166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56a, 56e, 57a, 57e, 62g, and 63g in the Concluding Observations of the Initial Report of the Republic of China (Taiwan) on the CRPD.</w:t>
      </w:r>
    </w:p>
  </w:footnote>
  <w:footnote w:id="82">
    <w:p w14:paraId="784BA512" w14:textId="677B809B" w:rsidR="001C09C5" w:rsidRPr="005A087C" w:rsidRDefault="001C09C5" w:rsidP="00EE7E37">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P</w:t>
      </w:r>
      <w:r w:rsidRPr="005A087C">
        <w:rPr>
          <w:rFonts w:ascii="Times" w:eastAsia="標楷體" w:hAnsi="Times" w:cs="Times New Roman"/>
        </w:rPr>
        <w:t xml:space="preserve">oints 167 and 168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56a and 57a in the Concluding Observations of the Initial Report of the Republic of China (Taiwan) on the CRPD.</w:t>
      </w:r>
    </w:p>
    <w:p w14:paraId="2BB7FF2F" w14:textId="77777777" w:rsidR="001C09C5" w:rsidRPr="005A087C" w:rsidRDefault="001C09C5" w:rsidP="00EE7E37">
      <w:pPr>
        <w:pStyle w:val="a9"/>
        <w:rPr>
          <w:rFonts w:ascii="Times" w:eastAsia="標楷體" w:hAnsi="Times" w:cs="Times New Roman"/>
        </w:rPr>
      </w:pPr>
      <w:r w:rsidRPr="005A087C">
        <w:rPr>
          <w:rFonts w:ascii="Times" w:eastAsia="標楷體" w:hAnsi="Times" w:cs="Times New Roman"/>
        </w:rPr>
        <w:t xml:space="preserve">This point 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563 and 573 in the Concluding Observations of the Initial Report of the Republic of China (Taiwan) on the CRPD.</w:t>
      </w:r>
    </w:p>
  </w:footnote>
  <w:footnote w:id="83">
    <w:p w14:paraId="4A84A56E" w14:textId="4D6BBF7F" w:rsidR="001C09C5" w:rsidRPr="005A087C" w:rsidRDefault="001C09C5" w:rsidP="00EE7E37">
      <w:pPr>
        <w:pStyle w:val="a9"/>
        <w:rPr>
          <w:rFonts w:ascii="Times" w:eastAsia="標楷體" w:hAnsi="Times" w:cs="Times New Roman"/>
        </w:rPr>
      </w:pPr>
      <w:r w:rsidRPr="005A087C">
        <w:rPr>
          <w:rStyle w:val="ab"/>
          <w:rFonts w:ascii="Times" w:hAnsi="Times"/>
        </w:rPr>
        <w:footnoteRef/>
      </w:r>
      <w:r w:rsidRPr="005A087C">
        <w:rPr>
          <w:rFonts w:ascii="Times" w:eastAsia="標楷體" w:hAnsi="Times" w:cs="Times New Roman" w:hint="eastAsia"/>
        </w:rPr>
        <w:t xml:space="preserve"> P</w:t>
      </w:r>
      <w:r w:rsidRPr="005A087C">
        <w:rPr>
          <w:rFonts w:ascii="Times" w:eastAsia="標楷體" w:hAnsi="Times" w:cs="Times New Roman"/>
        </w:rPr>
        <w:t xml:space="preserve">oints 169 and 170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56b and 57b in the Concluding Observations of the Initial Report of the Republic of China (Taiwan) on the CRPD.</w:t>
      </w:r>
    </w:p>
    <w:p w14:paraId="5DCB3BDC" w14:textId="77777777" w:rsidR="001C09C5" w:rsidRPr="005A087C" w:rsidRDefault="001C09C5" w:rsidP="00EE7E37">
      <w:pPr>
        <w:pStyle w:val="a9"/>
        <w:rPr>
          <w:rFonts w:ascii="Times" w:hAnsi="Times"/>
        </w:rPr>
      </w:pPr>
    </w:p>
  </w:footnote>
  <w:footnote w:id="84">
    <w:p w14:paraId="3C1E7AFE" w14:textId="7D4612CA" w:rsidR="001C09C5" w:rsidRPr="00EE7E37" w:rsidRDefault="001C09C5" w:rsidP="00EE7E37">
      <w:pPr>
        <w:pStyle w:val="a9"/>
        <w:rPr>
          <w:rFonts w:ascii="Times" w:eastAsia="標楷體" w:hAnsi="Times" w:cs="Times New Roman"/>
        </w:rPr>
      </w:pPr>
      <w:r w:rsidRPr="005A087C">
        <w:rPr>
          <w:rStyle w:val="ab"/>
          <w:rFonts w:ascii="Times" w:hAnsi="Times" w:cs="Times New Roman"/>
        </w:rPr>
        <w:footnoteRef/>
      </w:r>
      <w:r w:rsidRPr="005A087C">
        <w:rPr>
          <w:rFonts w:ascii="Times" w:eastAsia="標楷體" w:hAnsi="Times" w:cs="Times New Roman"/>
        </w:rPr>
        <w:t xml:space="preserve"> 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56b and 57b in the Concluding Observations of the Initial Report of the Republic of China (Taiwan) on the CRPD.</w:t>
      </w:r>
    </w:p>
  </w:footnote>
  <w:footnote w:id="85">
    <w:p w14:paraId="31C73343" w14:textId="53765274" w:rsidR="001C09C5" w:rsidRPr="005A087C" w:rsidRDefault="001C09C5" w:rsidP="00EE7E37">
      <w:pPr>
        <w:pStyle w:val="a9"/>
        <w:rPr>
          <w:rFonts w:ascii="Times" w:eastAsia="標楷體" w:hAnsi="Times" w:cs="Times New Roman"/>
        </w:rPr>
      </w:pPr>
      <w:r w:rsidRPr="005A087C">
        <w:rPr>
          <w:rStyle w:val="ab"/>
          <w:rFonts w:ascii="Times" w:hAnsi="Times" w:cs="Times New Roman"/>
        </w:rPr>
        <w:footnoteRef/>
      </w:r>
      <w:r w:rsidRPr="005A087C">
        <w:rPr>
          <w:rFonts w:ascii="Times" w:eastAsia="標楷體" w:hAnsi="Times" w:cs="Times New Roman"/>
        </w:rPr>
        <w:t xml:space="preserve"> 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56b and 57b in the Concluding Observations of the Initial Report of the Republic of China (Taiwan) on the CRPD.</w:t>
      </w:r>
    </w:p>
    <w:p w14:paraId="420664BC" w14:textId="77777777" w:rsidR="001C09C5" w:rsidRPr="005A087C" w:rsidRDefault="001C09C5" w:rsidP="00EE7E37">
      <w:pPr>
        <w:pStyle w:val="a9"/>
        <w:rPr>
          <w:rFonts w:ascii="Times" w:hAnsi="Times" w:cs="Times New Roman"/>
        </w:rPr>
      </w:pPr>
    </w:p>
  </w:footnote>
  <w:footnote w:id="86">
    <w:p w14:paraId="350E98B0" w14:textId="06802D73" w:rsidR="001C09C5" w:rsidRPr="00474FFE" w:rsidRDefault="001C09C5" w:rsidP="00474FFE">
      <w:pPr>
        <w:pStyle w:val="a9"/>
        <w:rPr>
          <w:rFonts w:ascii="Times" w:eastAsia="標楷體" w:hAnsi="Times" w:cs="Times New Roman"/>
          <w:szCs w:val="24"/>
        </w:rPr>
      </w:pPr>
      <w:r w:rsidRPr="005A087C">
        <w:rPr>
          <w:rStyle w:val="ab"/>
          <w:rFonts w:ascii="Times" w:eastAsia="標楷體" w:hAnsi="Times" w:cs="Times New Roman"/>
        </w:rPr>
        <w:footnoteRef/>
      </w:r>
      <w:r w:rsidRPr="005A087C">
        <w:rPr>
          <w:rFonts w:ascii="Times" w:eastAsia="標楷體" w:hAnsi="Times" w:cs="Times New Roman"/>
          <w:szCs w:val="24"/>
        </w:rPr>
        <w:t xml:space="preserve"> </w:t>
      </w:r>
      <w:r w:rsidRPr="005A087C">
        <w:rPr>
          <w:rFonts w:ascii="Times" w:eastAsia="標楷體" w:hAnsi="Times" w:cs="Times New Roman"/>
        </w:rPr>
        <w:t xml:space="preserve">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58b and 59b in the Concluding Observations of the Initial Report of the Republic of China (Taiwan) on the CRPD.</w:t>
      </w:r>
    </w:p>
  </w:footnote>
  <w:footnote w:id="87">
    <w:p w14:paraId="73BA1668" w14:textId="6A7F3065" w:rsidR="001C09C5" w:rsidRPr="00A76F92" w:rsidRDefault="001C09C5" w:rsidP="00A76F92">
      <w:pPr>
        <w:pStyle w:val="a9"/>
        <w:ind w:left="2"/>
        <w:rPr>
          <w:rFonts w:ascii="Times" w:eastAsia="標楷體" w:hAnsi="Times" w:cs="Times New Roman"/>
          <w:szCs w:val="18"/>
        </w:rPr>
      </w:pPr>
      <w:r w:rsidRPr="005A087C">
        <w:rPr>
          <w:rStyle w:val="ab"/>
          <w:rFonts w:ascii="Times" w:eastAsia="標楷體" w:hAnsi="Times" w:cs="Times New Roman"/>
          <w:sz w:val="18"/>
          <w:szCs w:val="18"/>
        </w:rPr>
        <w:footnoteRef/>
      </w:r>
      <w:r w:rsidRPr="005A087C">
        <w:rPr>
          <w:rFonts w:ascii="Times" w:eastAsia="標楷體" w:hAnsi="Times" w:cs="Times New Roman"/>
          <w:sz w:val="18"/>
          <w:szCs w:val="18"/>
        </w:rPr>
        <w:t xml:space="preserve"> </w:t>
      </w:r>
      <w:r w:rsidRPr="005A087C">
        <w:rPr>
          <w:rFonts w:ascii="Times" w:eastAsia="標楷體" w:hAnsi="Times" w:cs="Times New Roman"/>
          <w:szCs w:val="18"/>
        </w:rPr>
        <w:t xml:space="preserve">Article 3 of the </w:t>
      </w:r>
      <w:r w:rsidRPr="002153DE">
        <w:rPr>
          <w:rFonts w:ascii="Times" w:eastAsia="標楷體" w:hAnsi="Times" w:cs="Times New Roman"/>
          <w:iCs/>
          <w:szCs w:val="18"/>
        </w:rPr>
        <w:t>Directions for Requesting Data from the Insurer of National Health Insurance</w:t>
      </w:r>
      <w:r w:rsidRPr="005A087C">
        <w:rPr>
          <w:rFonts w:ascii="Times" w:eastAsia="標楷體" w:hAnsi="Times" w:cs="Times New Roman"/>
          <w:szCs w:val="18"/>
        </w:rPr>
        <w:t xml:space="preserve"> states, </w:t>
      </w:r>
      <w:r>
        <w:rPr>
          <w:rFonts w:ascii="Times" w:eastAsia="標楷體" w:hAnsi="Times" w:cs="Times New Roman"/>
          <w:szCs w:val="18"/>
        </w:rPr>
        <w:t>“</w:t>
      </w:r>
      <w:r w:rsidRPr="005A087C">
        <w:rPr>
          <w:rFonts w:ascii="Times" w:eastAsia="標楷體" w:hAnsi="Times" w:cs="Times New Roman"/>
          <w:szCs w:val="18"/>
        </w:rPr>
        <w:t xml:space="preserve">The business data or personal data requested from the insurer shall be handled in accordance with these Directions, </w:t>
      </w:r>
      <w:r w:rsidRPr="002153DE">
        <w:rPr>
          <w:rFonts w:ascii="Times" w:eastAsia="標楷體" w:hAnsi="Times" w:cs="Times New Roman"/>
          <w:iCs/>
          <w:szCs w:val="18"/>
        </w:rPr>
        <w:t>the Freedom of Government Information Law</w:t>
      </w:r>
      <w:r w:rsidRPr="005A087C">
        <w:rPr>
          <w:rFonts w:ascii="Times" w:eastAsia="標楷體" w:hAnsi="Times" w:cs="Times New Roman"/>
          <w:szCs w:val="18"/>
        </w:rPr>
        <w:t>, PDPA, and relevant regulations.</w:t>
      </w:r>
      <w:r>
        <w:rPr>
          <w:rFonts w:ascii="Times" w:eastAsia="標楷體" w:hAnsi="Times" w:cs="Times New Roman"/>
          <w:szCs w:val="18"/>
        </w:rPr>
        <w:t>”</w:t>
      </w:r>
    </w:p>
  </w:footnote>
  <w:footnote w:id="88">
    <w:p w14:paraId="4CB8E5A1" w14:textId="7558B184" w:rsidR="001C09C5" w:rsidRPr="005A087C" w:rsidRDefault="001C09C5" w:rsidP="00A76F92">
      <w:pPr>
        <w:spacing w:line="320" w:lineRule="exact"/>
        <w:jc w:val="both"/>
        <w:rPr>
          <w:rFonts w:ascii="Times" w:eastAsia="標楷體" w:hAnsi="Times" w:cs="Times New Roman"/>
          <w:sz w:val="20"/>
          <w:szCs w:val="18"/>
        </w:rPr>
      </w:pPr>
      <w:r w:rsidRPr="005A087C">
        <w:rPr>
          <w:rStyle w:val="ab"/>
          <w:rFonts w:ascii="Times" w:eastAsia="標楷體" w:hAnsi="Times" w:cs="Times New Roman"/>
          <w:szCs w:val="18"/>
        </w:rPr>
        <w:footnoteRef/>
      </w:r>
      <w:r w:rsidRPr="005A087C">
        <w:rPr>
          <w:rFonts w:ascii="Times" w:eastAsia="標楷體" w:hAnsi="Times" w:cs="Times New Roman"/>
          <w:sz w:val="20"/>
          <w:szCs w:val="18"/>
        </w:rPr>
        <w:t xml:space="preserve"> Article 7 of the </w:t>
      </w:r>
      <w:r w:rsidRPr="002153DE">
        <w:rPr>
          <w:rFonts w:ascii="Times" w:eastAsia="標楷體" w:hAnsi="Times" w:cs="Times New Roman"/>
          <w:iCs/>
          <w:sz w:val="20"/>
          <w:szCs w:val="18"/>
        </w:rPr>
        <w:t>Regulations Governing the Production and Issuance of the National Health Insurance IC Card and Data Storage</w:t>
      </w:r>
      <w:r w:rsidRPr="005A087C">
        <w:rPr>
          <w:rFonts w:ascii="Times" w:eastAsia="標楷體" w:hAnsi="Times" w:cs="Times New Roman"/>
          <w:sz w:val="20"/>
          <w:szCs w:val="18"/>
        </w:rPr>
        <w:t xml:space="preserve"> states, </w:t>
      </w:r>
      <w:r>
        <w:rPr>
          <w:rFonts w:ascii="Times" w:eastAsia="標楷體" w:hAnsi="Times" w:cs="Times New Roman"/>
          <w:sz w:val="20"/>
          <w:szCs w:val="18"/>
        </w:rPr>
        <w:t>“</w:t>
      </w:r>
      <w:r w:rsidRPr="005A087C">
        <w:rPr>
          <w:rFonts w:ascii="Times" w:eastAsia="標楷體" w:hAnsi="Times" w:cs="Times New Roman"/>
          <w:sz w:val="20"/>
          <w:szCs w:val="18"/>
        </w:rPr>
        <w:t>A beneficiary may set up a password on his or her NHI IC Card to restrict the access to his or her personal NHI data, data of medical services and data of health administration.</w:t>
      </w:r>
      <w:r>
        <w:rPr>
          <w:rFonts w:ascii="Times" w:eastAsia="標楷體" w:hAnsi="Times" w:cs="Times New Roman"/>
          <w:sz w:val="20"/>
          <w:szCs w:val="18"/>
        </w:rPr>
        <w:t>”</w:t>
      </w:r>
    </w:p>
  </w:footnote>
  <w:footnote w:id="89">
    <w:p w14:paraId="46FC193F" w14:textId="7F26BAD8" w:rsidR="001C09C5" w:rsidRPr="00A76F92" w:rsidRDefault="001C09C5" w:rsidP="00A76F92">
      <w:pPr>
        <w:spacing w:line="320" w:lineRule="exact"/>
        <w:jc w:val="both"/>
        <w:rPr>
          <w:rStyle w:val="ab"/>
          <w:rFonts w:ascii="Times" w:eastAsia="標楷體" w:hAnsi="Times" w:cs="Times New Roman"/>
          <w:sz w:val="20"/>
          <w:szCs w:val="18"/>
          <w:vertAlign w:val="baseline"/>
        </w:rPr>
      </w:pPr>
      <w:r w:rsidRPr="005A087C">
        <w:rPr>
          <w:rStyle w:val="ab"/>
          <w:rFonts w:ascii="Times" w:eastAsia="標楷體" w:hAnsi="Times" w:cs="Times New Roman"/>
          <w:szCs w:val="18"/>
        </w:rPr>
        <w:footnoteRef/>
      </w:r>
      <w:r w:rsidRPr="005A087C">
        <w:rPr>
          <w:rFonts w:ascii="Times" w:eastAsia="標楷體" w:hAnsi="Times" w:cs="Times New Roman"/>
          <w:sz w:val="20"/>
          <w:szCs w:val="18"/>
        </w:rPr>
        <w:t xml:space="preserve"> </w:t>
      </w:r>
      <w:r w:rsidRPr="005A087C">
        <w:rPr>
          <w:rFonts w:ascii="Times" w:eastAsia="標楷體" w:hAnsi="Times" w:cs="Times New Roman" w:hint="eastAsia"/>
          <w:sz w:val="20"/>
          <w:szCs w:val="18"/>
        </w:rPr>
        <w:t>A</w:t>
      </w:r>
      <w:r w:rsidRPr="005A087C">
        <w:rPr>
          <w:rFonts w:ascii="Times" w:eastAsia="標楷體" w:hAnsi="Times" w:cs="Times New Roman"/>
          <w:sz w:val="20"/>
          <w:szCs w:val="18"/>
        </w:rPr>
        <w:t xml:space="preserve">rticle 11 of the </w:t>
      </w:r>
      <w:r w:rsidRPr="002153DE">
        <w:rPr>
          <w:rFonts w:ascii="Times" w:eastAsia="標楷體" w:hAnsi="Times" w:cs="Times New Roman"/>
          <w:iCs/>
          <w:sz w:val="20"/>
          <w:szCs w:val="18"/>
        </w:rPr>
        <w:t>Regulations Governing the Production and Issuance of the National Health Insurance IC Card and Data Storage</w:t>
      </w:r>
      <w:r w:rsidRPr="005A087C">
        <w:rPr>
          <w:rFonts w:ascii="Times" w:eastAsia="標楷體" w:hAnsi="Times" w:cs="Times New Roman"/>
          <w:sz w:val="20"/>
          <w:szCs w:val="18"/>
        </w:rPr>
        <w:t xml:space="preserve"> states, </w:t>
      </w:r>
      <w:r>
        <w:rPr>
          <w:rFonts w:ascii="Times" w:eastAsia="標楷體" w:hAnsi="Times" w:cs="Times New Roman"/>
          <w:sz w:val="20"/>
          <w:szCs w:val="18"/>
        </w:rPr>
        <w:t>“</w:t>
      </w:r>
      <w:r w:rsidRPr="005A087C">
        <w:rPr>
          <w:rFonts w:ascii="Times" w:eastAsia="標楷體" w:hAnsi="Times" w:cs="Times New Roman"/>
          <w:sz w:val="20"/>
          <w:szCs w:val="18"/>
        </w:rPr>
        <w:t xml:space="preserve">When providing medical services for beneficiaries, contracted medical care institutions shall access medical records already stored in or uploaded through NHI IC Cards, or </w:t>
      </w:r>
      <w:r w:rsidRPr="002F273E">
        <w:rPr>
          <w:rFonts w:ascii="Times" w:eastAsia="標楷體" w:hAnsi="Times" w:cs="Times New Roman"/>
          <w:sz w:val="20"/>
          <w:szCs w:val="18"/>
        </w:rPr>
        <w:t>beneficiaries’ medical visit results and medical treatment expenses information provided by contracted medical care institut</w:t>
      </w:r>
      <w:r>
        <w:rPr>
          <w:rFonts w:ascii="Times" w:eastAsia="標楷體" w:hAnsi="Times" w:cs="Times New Roman"/>
          <w:sz w:val="20"/>
          <w:szCs w:val="18"/>
        </w:rPr>
        <w:t>ions</w:t>
      </w:r>
      <w:r w:rsidRPr="005A087C">
        <w:rPr>
          <w:rFonts w:ascii="Times" w:eastAsia="標楷體" w:hAnsi="Times" w:cs="Times New Roman"/>
          <w:sz w:val="20"/>
          <w:szCs w:val="18"/>
        </w:rPr>
        <w:t>, based on medical needs. Notwithstanding, the medical care institutions may not access the aforementioned records if a beneficiary sets up a password to restrict the access to data.</w:t>
      </w:r>
      <w:r>
        <w:rPr>
          <w:rFonts w:ascii="Times" w:eastAsia="標楷體" w:hAnsi="Times" w:cs="Times New Roman"/>
          <w:sz w:val="20"/>
          <w:szCs w:val="18"/>
        </w:rPr>
        <w:t>”</w:t>
      </w:r>
    </w:p>
  </w:footnote>
  <w:footnote w:id="90">
    <w:p w14:paraId="25FEE48E" w14:textId="3AA07185" w:rsidR="001C09C5" w:rsidRPr="00A76F92" w:rsidRDefault="001C09C5" w:rsidP="00A76F92">
      <w:pPr>
        <w:pStyle w:val="a9"/>
        <w:rPr>
          <w:rFonts w:ascii="Times" w:eastAsia="標楷體" w:hAnsi="Times" w:cs="Times New Roman"/>
        </w:rPr>
      </w:pPr>
      <w:r w:rsidRPr="005A087C">
        <w:rPr>
          <w:rStyle w:val="ab"/>
          <w:rFonts w:ascii="Times" w:hAnsi="Times" w:cs="Times New Roman"/>
        </w:rPr>
        <w:footnoteRef/>
      </w:r>
      <w:r w:rsidRPr="005A087C">
        <w:rPr>
          <w:rFonts w:ascii="Times" w:hAnsi="Times" w:cs="Times New Roman"/>
        </w:rPr>
        <w:t xml:space="preserve"> </w:t>
      </w:r>
      <w:r w:rsidRPr="005A087C">
        <w:rPr>
          <w:rFonts w:ascii="Times" w:eastAsia="標楷體" w:hAnsi="Times" w:cs="Times New Roman"/>
        </w:rPr>
        <w:t xml:space="preserve">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58c and 59c in the Concluding Observations of the Initial Report of the Republic of China (Taiwan) on the CRPD.</w:t>
      </w:r>
    </w:p>
  </w:footnote>
  <w:footnote w:id="91">
    <w:p w14:paraId="00A70385" w14:textId="466698B3" w:rsidR="001C09C5" w:rsidRPr="0001641B" w:rsidRDefault="001C09C5" w:rsidP="0001641B">
      <w:pPr>
        <w:pStyle w:val="a9"/>
        <w:rPr>
          <w:rFonts w:ascii="Times" w:eastAsia="標楷體" w:hAnsi="Times" w:cs="Times New Roman"/>
          <w:szCs w:val="24"/>
        </w:rPr>
      </w:pPr>
      <w:r w:rsidRPr="005A087C">
        <w:rPr>
          <w:rStyle w:val="ab"/>
          <w:rFonts w:ascii="Times" w:hAnsi="Times" w:cs="Times New Roman"/>
        </w:rPr>
        <w:footnoteRef/>
      </w:r>
      <w:r w:rsidRPr="005A087C">
        <w:rPr>
          <w:rFonts w:ascii="Times" w:eastAsia="標楷體" w:hAnsi="Times" w:cs="Times New Roman"/>
          <w:szCs w:val="24"/>
        </w:rPr>
        <w:t xml:space="preserve"> </w:t>
      </w:r>
      <w:r w:rsidRPr="005A087C">
        <w:rPr>
          <w:rFonts w:ascii="Times" w:eastAsia="標楷體" w:hAnsi="Times" w:cs="Times New Roman"/>
        </w:rPr>
        <w:t xml:space="preserve">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58a and 59a in the Concluding Observations of the Initial Report of the Republic of China (Taiwan) on the CRPD.</w:t>
      </w:r>
    </w:p>
  </w:footnote>
  <w:footnote w:id="92">
    <w:p w14:paraId="355015F2" w14:textId="491B87DD" w:rsidR="001C09C5" w:rsidRPr="0001641B" w:rsidRDefault="001C09C5" w:rsidP="0001641B">
      <w:pPr>
        <w:pStyle w:val="a9"/>
        <w:rPr>
          <w:rFonts w:ascii="Times" w:eastAsia="標楷體" w:hAnsi="Times" w:cs="Times New Roman"/>
        </w:rPr>
      </w:pPr>
      <w:r w:rsidRPr="005A087C">
        <w:rPr>
          <w:rStyle w:val="ab"/>
          <w:rFonts w:ascii="Times" w:hAnsi="Times" w:cs="Times New Roman"/>
        </w:rPr>
        <w:footnoteRef/>
      </w:r>
      <w:r w:rsidRPr="005A087C">
        <w:rPr>
          <w:rFonts w:ascii="Times" w:hAnsi="Times" w:cs="Times New Roman"/>
        </w:rPr>
        <w:t xml:space="preserve"> </w:t>
      </w:r>
      <w:r w:rsidRPr="005A087C">
        <w:rPr>
          <w:rFonts w:ascii="Times" w:eastAsia="標楷體" w:hAnsi="Times" w:cs="Times New Roman"/>
        </w:rPr>
        <w:t xml:space="preserve">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58c and 59c in the Concluding Observations of the Initial Report of the Republic of China (Taiwan) on the CRPD.</w:t>
      </w:r>
    </w:p>
  </w:footnote>
  <w:footnote w:id="93">
    <w:p w14:paraId="5F9F85ED" w14:textId="635D22BC" w:rsidR="001C09C5" w:rsidRPr="005A087C" w:rsidRDefault="001C09C5" w:rsidP="0001641B">
      <w:pPr>
        <w:pStyle w:val="a9"/>
        <w:rPr>
          <w:rFonts w:ascii="Times" w:eastAsia="標楷體" w:hAnsi="Times" w:cs="Times New Roman"/>
        </w:rPr>
      </w:pPr>
      <w:r w:rsidRPr="005A087C">
        <w:rPr>
          <w:rStyle w:val="ab"/>
          <w:rFonts w:ascii="Times" w:hAnsi="Times" w:cs="Times New Roman"/>
        </w:rPr>
        <w:footnoteRef/>
      </w:r>
      <w:r w:rsidRPr="005A087C">
        <w:rPr>
          <w:rFonts w:ascii="Times" w:eastAsia="標楷體" w:hAnsi="Times" w:cs="Times New Roman"/>
        </w:rPr>
        <w:t xml:space="preserve"> 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60b, 60c, 61b, 61c, 64b, and 65b in the Concluding Observations of the Initial Report of the Republic of China (Taiwan) on the CRPD.</w:t>
      </w:r>
    </w:p>
  </w:footnote>
  <w:footnote w:id="94">
    <w:p w14:paraId="662174C2" w14:textId="5D71A096" w:rsidR="001C09C5" w:rsidRPr="005A087C" w:rsidRDefault="001C09C5" w:rsidP="0001641B">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hint="eastAsia"/>
        </w:rPr>
        <w:t xml:space="preserve"> </w:t>
      </w:r>
      <w:r w:rsidRPr="005A087C">
        <w:rPr>
          <w:rFonts w:ascii="Times" w:eastAsia="標楷體" w:hAnsi="Times" w:cs="Times New Roman"/>
        </w:rPr>
        <w:t xml:space="preserve">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60b and 61b in the Concluding Observations of the Initial Report of the Republic of China (Taiwan) on the CRPD.</w:t>
      </w:r>
    </w:p>
  </w:footnote>
  <w:footnote w:id="95">
    <w:p w14:paraId="0311E205" w14:textId="56DD5121" w:rsidR="001C09C5" w:rsidRPr="005A087C" w:rsidRDefault="001C09C5" w:rsidP="0001641B">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60c and 61c in the Concluding Observations of the Initial Report of the Republic of China (Taiwan) on the CRPD.</w:t>
      </w:r>
    </w:p>
  </w:footnote>
  <w:footnote w:id="96">
    <w:p w14:paraId="5E37595B" w14:textId="101F5C03" w:rsidR="001C09C5" w:rsidRPr="005A087C" w:rsidRDefault="001C09C5" w:rsidP="0001641B">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P</w:t>
      </w:r>
      <w:r w:rsidRPr="005A087C">
        <w:rPr>
          <w:rFonts w:ascii="Times" w:eastAsia="標楷體" w:hAnsi="Times" w:cs="Times New Roman"/>
        </w:rPr>
        <w:t xml:space="preserve">oints 188 and 189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60a and 61a in the Concluding Observations of the Initial Report of the Republic of China (Taiwan) on the CRPD.</w:t>
      </w:r>
    </w:p>
  </w:footnote>
  <w:footnote w:id="97">
    <w:p w14:paraId="6DED0672" w14:textId="7B85BB3F" w:rsidR="001C09C5" w:rsidRPr="005A087C" w:rsidRDefault="001C09C5" w:rsidP="0001641B">
      <w:pPr>
        <w:pStyle w:val="a9"/>
        <w:ind w:left="252" w:hangingChars="126" w:hanging="252"/>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hint="eastAsia"/>
          <w:szCs w:val="24"/>
        </w:rPr>
        <w:t xml:space="preserve"> </w:t>
      </w:r>
      <w:r w:rsidRPr="005A087C">
        <w:rPr>
          <w:rFonts w:ascii="Times" w:eastAsia="標楷體" w:hAnsi="Times" w:cs="Times New Roman"/>
          <w:szCs w:val="24"/>
        </w:rPr>
        <w:t>Parents, guardians, interested parties, or children and youth welfare institut</w:t>
      </w:r>
      <w:r>
        <w:rPr>
          <w:rFonts w:ascii="Times" w:eastAsia="標楷體" w:hAnsi="Times" w:cs="Times New Roman"/>
          <w:szCs w:val="24"/>
        </w:rPr>
        <w:t>ion</w:t>
      </w:r>
      <w:r w:rsidRPr="005A087C">
        <w:rPr>
          <w:rFonts w:ascii="Times" w:eastAsia="標楷體" w:hAnsi="Times" w:cs="Times New Roman"/>
          <w:szCs w:val="24"/>
        </w:rPr>
        <w:t xml:space="preserve">s may apply to </w:t>
      </w:r>
      <w:r>
        <w:rPr>
          <w:rFonts w:ascii="Times" w:eastAsia="標楷體" w:hAnsi="Times" w:cs="Times New Roman"/>
          <w:szCs w:val="24"/>
        </w:rPr>
        <w:t xml:space="preserve">the </w:t>
      </w:r>
      <w:r w:rsidRPr="005A087C">
        <w:rPr>
          <w:rFonts w:ascii="Times" w:eastAsia="標楷體" w:hAnsi="Times" w:cs="Times New Roman"/>
          <w:szCs w:val="24"/>
        </w:rPr>
        <w:t xml:space="preserve">local competent </w:t>
      </w:r>
      <w:r>
        <w:rPr>
          <w:rFonts w:ascii="Times" w:eastAsia="標楷體" w:hAnsi="Times" w:cs="Times New Roman"/>
          <w:szCs w:val="24"/>
        </w:rPr>
        <w:t xml:space="preserve">authority </w:t>
      </w:r>
      <w:r w:rsidRPr="005A087C">
        <w:rPr>
          <w:rFonts w:ascii="Times" w:eastAsia="標楷體" w:hAnsi="Times" w:cs="Times New Roman"/>
          <w:szCs w:val="24"/>
        </w:rPr>
        <w:t xml:space="preserve">for placement and protection of children who are unable to lead a normal life due to severe </w:t>
      </w:r>
      <w:r>
        <w:rPr>
          <w:rFonts w:ascii="Times" w:eastAsia="標楷體" w:hAnsi="Times" w:cs="Times New Roman"/>
          <w:szCs w:val="24"/>
        </w:rPr>
        <w:t xml:space="preserve">disaster having hit </w:t>
      </w:r>
      <w:r w:rsidRPr="005A087C">
        <w:rPr>
          <w:rFonts w:ascii="Times" w:eastAsia="標楷體" w:hAnsi="Times" w:cs="Times New Roman"/>
          <w:szCs w:val="24"/>
        </w:rPr>
        <w:t>their families.</w:t>
      </w:r>
    </w:p>
  </w:footnote>
  <w:footnote w:id="98">
    <w:p w14:paraId="5FD56B88" w14:textId="75A6D014" w:rsidR="001C09C5" w:rsidRPr="005A087C" w:rsidRDefault="001C09C5" w:rsidP="003171C0">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60c and 61c in the Concluding Observations of the Initial Report of the Republic of China (Taiwan) on the CRPD.</w:t>
      </w:r>
    </w:p>
  </w:footnote>
  <w:footnote w:id="99">
    <w:p w14:paraId="311A15C2" w14:textId="6F13A54D" w:rsidR="001C09C5" w:rsidRPr="005A087C" w:rsidRDefault="001C09C5" w:rsidP="003171C0">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62a, 62c, 63a, and 63c in the Concluding Observations of the Initial Report of the Republic of China (Taiwan) on the CRPD.</w:t>
      </w:r>
    </w:p>
  </w:footnote>
  <w:footnote w:id="100">
    <w:p w14:paraId="1F881646" w14:textId="0A76A8D3" w:rsidR="001C09C5" w:rsidRPr="005A087C" w:rsidRDefault="001C09C5" w:rsidP="003171C0">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62a, 62d, 62f, 63a, 63d, and 63f in the Concluding Observations of the Initial Report of the Republic of China (Taiwan) on the CRPD.</w:t>
      </w:r>
    </w:p>
  </w:footnote>
  <w:footnote w:id="101">
    <w:p w14:paraId="6388A2C4" w14:textId="0E9603F1" w:rsidR="001C09C5" w:rsidRPr="00193ED6" w:rsidRDefault="001C09C5" w:rsidP="00193ED6">
      <w:pPr>
        <w:pStyle w:val="a9"/>
        <w:rPr>
          <w:rFonts w:ascii="Times" w:eastAsia="標楷體" w:hAnsi="Times" w:cs="Times New Roman"/>
        </w:rPr>
      </w:pPr>
      <w:r w:rsidRPr="005A087C">
        <w:rPr>
          <w:rStyle w:val="ab"/>
          <w:rFonts w:ascii="Times" w:hAnsi="Times" w:cs="Times New Roman"/>
        </w:rPr>
        <w:footnoteRef/>
      </w:r>
      <w:r w:rsidRPr="005A087C">
        <w:rPr>
          <w:rFonts w:ascii="Times" w:hAnsi="Times" w:cs="Times New Roman"/>
        </w:rPr>
        <w:t xml:space="preserve"> </w:t>
      </w:r>
      <w:r w:rsidRPr="005A087C">
        <w:rPr>
          <w:rFonts w:ascii="Times" w:eastAsia="標楷體" w:hAnsi="Times" w:cs="Times New Roman"/>
        </w:rPr>
        <w:t xml:space="preserve">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62a, 62b, 63a, and 63b in the Concluding Observations of the Initial Report of the Republic of China (Taiwan) on the CRPD.</w:t>
      </w:r>
    </w:p>
  </w:footnote>
  <w:footnote w:id="102">
    <w:p w14:paraId="255C566F" w14:textId="15F37DE7" w:rsidR="001C09C5" w:rsidRPr="005A087C" w:rsidRDefault="001C09C5" w:rsidP="00193ED6">
      <w:pPr>
        <w:pStyle w:val="a9"/>
        <w:rPr>
          <w:rFonts w:ascii="Times" w:eastAsia="標楷體" w:hAnsi="Times" w:cs="Times New Roman"/>
          <w:color w:val="000000" w:themeColor="text1"/>
        </w:rPr>
      </w:pPr>
      <w:r w:rsidRPr="005A087C">
        <w:rPr>
          <w:rStyle w:val="ab"/>
          <w:rFonts w:ascii="Times" w:eastAsia="標楷體" w:hAnsi="Times" w:cs="Times New Roman"/>
        </w:rPr>
        <w:footnoteRef/>
      </w:r>
      <w:r w:rsidRPr="005A087C">
        <w:rPr>
          <w:rFonts w:ascii="Times" w:eastAsia="標楷體" w:hAnsi="Times" w:cs="Times New Roman"/>
        </w:rPr>
        <w:t xml:space="preserve"> 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62b, 62d, 63b, and 63d in the Concluding Observations of the Initial Report of the Republic of China (Taiwan) on the CRPD.</w:t>
      </w:r>
    </w:p>
  </w:footnote>
  <w:footnote w:id="103">
    <w:p w14:paraId="21A71A15" w14:textId="2BF103FE" w:rsidR="001C09C5" w:rsidRPr="005A087C" w:rsidRDefault="001C09C5" w:rsidP="00193ED6">
      <w:pPr>
        <w:pStyle w:val="a9"/>
        <w:rPr>
          <w:rFonts w:ascii="Times" w:hAnsi="Times" w:cs="Times New Roman"/>
        </w:rPr>
      </w:pPr>
      <w:r w:rsidRPr="005A087C">
        <w:rPr>
          <w:rStyle w:val="ab"/>
          <w:rFonts w:ascii="Times" w:hAnsi="Times" w:cs="Times New Roman"/>
        </w:rPr>
        <w:footnoteRef/>
      </w:r>
      <w:r w:rsidRPr="005A087C">
        <w:rPr>
          <w:rFonts w:ascii="Times" w:hAnsi="Times" w:cs="Times New Roman"/>
        </w:rPr>
        <w:t xml:space="preserve"> </w:t>
      </w:r>
      <w:r w:rsidRPr="005A087C">
        <w:rPr>
          <w:rFonts w:ascii="Times" w:eastAsia="標楷體" w:hAnsi="Times" w:cs="Times New Roman" w:hint="eastAsia"/>
        </w:rPr>
        <w:t>P</w:t>
      </w:r>
      <w:r w:rsidRPr="005A087C">
        <w:rPr>
          <w:rFonts w:ascii="Times" w:eastAsia="標楷體" w:hAnsi="Times" w:cs="Times New Roman"/>
        </w:rPr>
        <w:t xml:space="preserve">oints 202 and 203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62e and 63e in the Concluding Observations of the Initial Report of the Republic of China (Taiwan) on the CRPD.</w:t>
      </w:r>
    </w:p>
  </w:footnote>
  <w:footnote w:id="104">
    <w:p w14:paraId="1A6D1DD7" w14:textId="5ABBACC3" w:rsidR="001C09C5" w:rsidRPr="005A087C" w:rsidRDefault="001C09C5" w:rsidP="00440FE4">
      <w:pPr>
        <w:pStyle w:val="a9"/>
        <w:rPr>
          <w:rFonts w:ascii="Times" w:hAnsi="Times"/>
        </w:rPr>
      </w:pPr>
      <w:r w:rsidRPr="005A087C">
        <w:rPr>
          <w:rStyle w:val="ab"/>
          <w:rFonts w:ascii="Times" w:hAnsi="Times"/>
        </w:rPr>
        <w:footnoteRef/>
      </w:r>
      <w:r w:rsidRPr="005A087C">
        <w:rPr>
          <w:rFonts w:ascii="Times" w:eastAsia="標楷體" w:hAnsi="Times" w:cs="Times New Roman" w:hint="eastAsia"/>
        </w:rPr>
        <w:t xml:space="preserve"> </w:t>
      </w:r>
      <w:r w:rsidRPr="005A087C">
        <w:rPr>
          <w:rFonts w:ascii="Times" w:eastAsia="標楷體" w:hAnsi="Times" w:cs="Times New Roman"/>
        </w:rPr>
        <w:t xml:space="preserve">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64a and 65a in the Concluding Observations of the Initial Report of the Republic of China (Taiwan) on the CRPD.</w:t>
      </w:r>
    </w:p>
  </w:footnote>
  <w:footnote w:id="105">
    <w:p w14:paraId="1E579321" w14:textId="50B9E442" w:rsidR="001C09C5" w:rsidRPr="005A087C" w:rsidRDefault="001C09C5" w:rsidP="00440FE4">
      <w:pPr>
        <w:pStyle w:val="a9"/>
        <w:ind w:left="336" w:hangingChars="168" w:hanging="336"/>
        <w:rPr>
          <w:rFonts w:ascii="Times" w:hAnsi="Times"/>
        </w:rPr>
      </w:pPr>
      <w:r w:rsidRPr="005A087C">
        <w:rPr>
          <w:rStyle w:val="ab"/>
          <w:rFonts w:ascii="Times" w:hAnsi="Times"/>
        </w:rPr>
        <w:footnoteRef/>
      </w:r>
      <w:r w:rsidRPr="005A087C">
        <w:rPr>
          <w:rFonts w:ascii="Times" w:eastAsia="標楷體" w:hAnsi="Times" w:cs="Times New Roman" w:hint="eastAsia"/>
        </w:rPr>
        <w:t xml:space="preserve"> </w:t>
      </w:r>
      <w:r w:rsidRPr="005A087C">
        <w:rPr>
          <w:rFonts w:ascii="Times" w:eastAsia="標楷體" w:hAnsi="Times" w:cs="Times New Roman"/>
        </w:rPr>
        <w:t xml:space="preserve">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64b, 64d, 65b, and 65d in the Concluding Observations of the Initial Report of the Republic of China (Taiwan) on the CRPD.</w:t>
      </w:r>
    </w:p>
  </w:footnote>
  <w:footnote w:id="106">
    <w:p w14:paraId="0C98C7D8" w14:textId="0676A155" w:rsidR="001C09C5" w:rsidRPr="005A087C" w:rsidRDefault="001C09C5" w:rsidP="00440FE4">
      <w:pPr>
        <w:pStyle w:val="a9"/>
        <w:rPr>
          <w:rFonts w:ascii="Times" w:eastAsia="標楷體" w:hAnsi="Times" w:cs="Times New Roman"/>
        </w:rPr>
      </w:pPr>
      <w:r w:rsidRPr="005A087C">
        <w:rPr>
          <w:rStyle w:val="ab"/>
          <w:rFonts w:ascii="Times" w:eastAsia="BiauKai"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P</w:t>
      </w:r>
      <w:r w:rsidRPr="005A087C">
        <w:rPr>
          <w:rFonts w:ascii="Times" w:eastAsia="標楷體" w:hAnsi="Times" w:cs="Times New Roman"/>
        </w:rPr>
        <w:t xml:space="preserve">oints 218 and 219 respond to </w:t>
      </w:r>
      <w:r w:rsidRPr="005A087C">
        <w:rPr>
          <w:rFonts w:ascii="Times" w:eastAsia="標楷體" w:hAnsi="Times" w:cs="Times New Roman"/>
          <w:color w:val="000000" w:themeColor="text1"/>
        </w:rPr>
        <w:t>Points</w:t>
      </w:r>
      <w:r w:rsidRPr="005A087C">
        <w:rPr>
          <w:rFonts w:ascii="Times" w:eastAsia="標楷體" w:hAnsi="Times" w:cs="Times New Roman"/>
        </w:rPr>
        <w:t xml:space="preserve"> 44a, 45a, 64c, and 65c in the Concluding Observations of the Initial Report of the Republic of China (Taiwan) on the CRPD.</w:t>
      </w:r>
    </w:p>
  </w:footnote>
  <w:footnote w:id="107">
    <w:p w14:paraId="4E4DB025" w14:textId="73BF4500" w:rsidR="001C09C5" w:rsidRPr="005A087C" w:rsidRDefault="001C09C5" w:rsidP="00762B16">
      <w:pPr>
        <w:pStyle w:val="a9"/>
        <w:rPr>
          <w:rFonts w:ascii="Times" w:eastAsia="BiauKai" w:hAnsi="Times" w:cs="Times New Roman"/>
        </w:rPr>
      </w:pPr>
      <w:r w:rsidRPr="005A087C">
        <w:rPr>
          <w:rStyle w:val="ab"/>
          <w:rFonts w:ascii="Times" w:eastAsia="BiauKai" w:hAnsi="Times" w:cs="Times New Roman"/>
        </w:rPr>
        <w:footnoteRef/>
      </w:r>
      <w:r w:rsidRPr="005A087C">
        <w:rPr>
          <w:rFonts w:ascii="Times" w:eastAsia="標楷體" w:hAnsi="Times" w:cs="Times New Roman"/>
        </w:rPr>
        <w:t xml:space="preserve"> </w:t>
      </w:r>
      <w:r>
        <w:rPr>
          <w:rFonts w:ascii="Times" w:eastAsia="標楷體" w:hAnsi="Times" w:cs="Times New Roman"/>
        </w:rPr>
        <w:t xml:space="preserve">Responds to Points 66(a) and 67(a) in </w:t>
      </w:r>
      <w:r w:rsidRPr="005A087C">
        <w:rPr>
          <w:rFonts w:ascii="Times" w:eastAsia="標楷體" w:hAnsi="Times" w:cs="Times New Roman"/>
        </w:rPr>
        <w:t>the Concluding Observations of the Initial Report of the Republic of China (Taiwan) on the CRPD.</w:t>
      </w:r>
    </w:p>
  </w:footnote>
  <w:footnote w:id="108">
    <w:p w14:paraId="320C34E6" w14:textId="3580EB8B" w:rsidR="001C09C5" w:rsidRPr="005A087C" w:rsidRDefault="001C09C5" w:rsidP="00762B16">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w:t>
      </w:r>
      <w:r w:rsidRPr="005A087C">
        <w:rPr>
          <w:rFonts w:ascii="Times" w:eastAsia="標楷體" w:hAnsi="Times" w:cs="Times New Roman"/>
          <w:color w:val="000000" w:themeColor="text1"/>
        </w:rPr>
        <w:t xml:space="preserve">Points </w:t>
      </w:r>
      <w:r w:rsidRPr="005A087C">
        <w:rPr>
          <w:rFonts w:ascii="Times" w:eastAsia="標楷體" w:hAnsi="Times" w:cs="Times New Roman"/>
        </w:rPr>
        <w:t>66a, 66b, 67a, and 67b in the Concluding Observations of the Initial Report of the Republic of China (Taiwan) on the CRPD.</w:t>
      </w:r>
    </w:p>
  </w:footnote>
  <w:footnote w:id="109">
    <w:p w14:paraId="19F03A50" w14:textId="76E7DBB1" w:rsidR="001C09C5" w:rsidRPr="005A087C" w:rsidRDefault="001C09C5" w:rsidP="00762B16">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P</w:t>
      </w:r>
      <w:r w:rsidRPr="005A087C">
        <w:rPr>
          <w:rFonts w:ascii="Times" w:eastAsia="標楷體" w:hAnsi="Times" w:cs="Times New Roman"/>
        </w:rPr>
        <w:t xml:space="preserve">oints 226–228 respond to </w:t>
      </w:r>
      <w:r w:rsidRPr="005A087C">
        <w:rPr>
          <w:rFonts w:ascii="Times" w:eastAsia="標楷體" w:hAnsi="Times" w:cs="Times New Roman"/>
          <w:color w:val="000000" w:themeColor="text1"/>
        </w:rPr>
        <w:t xml:space="preserve">Points </w:t>
      </w:r>
      <w:r w:rsidRPr="005A087C">
        <w:rPr>
          <w:rFonts w:ascii="Times" w:eastAsia="標楷體" w:hAnsi="Times" w:cs="Times New Roman"/>
        </w:rPr>
        <w:t>64e and 65e in the Concluding Observations of the Initial Report of the Republic of China (Taiwan) on the CRPD.</w:t>
      </w:r>
    </w:p>
  </w:footnote>
  <w:footnote w:id="110">
    <w:p w14:paraId="3D04DED2" w14:textId="5B1A6F6F" w:rsidR="001C09C5" w:rsidRPr="00841BC7" w:rsidRDefault="001C09C5" w:rsidP="00841BC7">
      <w:pPr>
        <w:pStyle w:val="a9"/>
        <w:rPr>
          <w:rFonts w:ascii="Times" w:eastAsia="標楷體" w:hAnsi="Times" w:cs="Times New Roman"/>
        </w:rPr>
      </w:pPr>
      <w:r w:rsidRPr="005A087C">
        <w:rPr>
          <w:rStyle w:val="ab"/>
          <w:rFonts w:ascii="Times" w:eastAsia="BiauKai" w:hAnsi="Times" w:cs="Times New Roman"/>
        </w:rPr>
        <w:footnoteRef/>
      </w:r>
      <w:r w:rsidRPr="005A087C">
        <w:rPr>
          <w:rFonts w:ascii="Times" w:eastAsia="標楷體" w:hAnsi="Times" w:cs="Times New Roman" w:hint="eastAsia"/>
        </w:rPr>
        <w:t xml:space="preserve"> </w:t>
      </w:r>
      <w:r w:rsidRPr="005A087C">
        <w:rPr>
          <w:rFonts w:ascii="Times" w:eastAsia="標楷體" w:hAnsi="Times" w:cs="Times New Roman"/>
        </w:rPr>
        <w:t xml:space="preserve">Responds to </w:t>
      </w:r>
      <w:r w:rsidRPr="005A087C">
        <w:rPr>
          <w:rFonts w:ascii="Times" w:eastAsia="標楷體" w:hAnsi="Times" w:cs="Times New Roman"/>
          <w:color w:val="000000" w:themeColor="text1"/>
        </w:rPr>
        <w:t>Points</w:t>
      </w:r>
      <w:r w:rsidRPr="005A087C">
        <w:rPr>
          <w:rFonts w:ascii="Times" w:eastAsia="標楷體" w:hAnsi="Times" w:cs="Times New Roman"/>
        </w:rPr>
        <w:t xml:space="preserve"> 64f, 65f, 66d, and 67d in the Concluding Observations of the Initial Report of the Republic of China (Taiwan) on the CRPD.</w:t>
      </w:r>
    </w:p>
  </w:footnote>
  <w:footnote w:id="111">
    <w:p w14:paraId="3B6FB294" w14:textId="5EF1D8FE" w:rsidR="001C09C5" w:rsidRPr="001B2D6B" w:rsidRDefault="001C09C5" w:rsidP="001B2D6B">
      <w:pPr>
        <w:pStyle w:val="a9"/>
        <w:rPr>
          <w:rFonts w:ascii="Times" w:eastAsia="標楷體" w:hAnsi="Times" w:cs="Times New Roman"/>
        </w:rPr>
      </w:pPr>
      <w:r w:rsidRPr="005A087C">
        <w:rPr>
          <w:rStyle w:val="ab"/>
          <w:rFonts w:ascii="Times" w:hAnsi="Times" w:cs="Times New Roman"/>
        </w:rPr>
        <w:footnoteRef/>
      </w:r>
      <w:r w:rsidRPr="005A087C">
        <w:rPr>
          <w:rFonts w:ascii="Times" w:eastAsia="標楷體" w:hAnsi="Times" w:cs="Times New Roman"/>
        </w:rPr>
        <w:t xml:space="preserve"> Respond to Points 68a</w:t>
      </w:r>
      <w:r w:rsidRPr="005A087C">
        <w:rPr>
          <w:rFonts w:ascii="Times" w:eastAsia="標楷體" w:hAnsi="Times" w:cs="Times New Roman" w:hint="eastAsia"/>
        </w:rPr>
        <w:t>,</w:t>
      </w:r>
      <w:r w:rsidRPr="005A087C">
        <w:rPr>
          <w:rFonts w:ascii="Times" w:eastAsia="標楷體" w:hAnsi="Times" w:cs="Times New Roman"/>
        </w:rPr>
        <w:t xml:space="preserve"> 68c, 69a</w:t>
      </w:r>
      <w:r w:rsidRPr="005A087C">
        <w:rPr>
          <w:rFonts w:ascii="Times" w:eastAsia="標楷體" w:hAnsi="Times" w:cs="Times New Roman" w:hint="eastAsia"/>
        </w:rPr>
        <w:t>,</w:t>
      </w:r>
      <w:r w:rsidRPr="005A087C">
        <w:rPr>
          <w:rFonts w:ascii="Times" w:eastAsia="標楷體" w:hAnsi="Times" w:cs="Times New Roman"/>
        </w:rPr>
        <w:t xml:space="preserve"> and 69c in the Concluding Observations of the Initial Report of the Republic of China (Taiwan) on the CRPD.</w:t>
      </w:r>
    </w:p>
  </w:footnote>
  <w:footnote w:id="112">
    <w:p w14:paraId="5316356D" w14:textId="4DCBCB81" w:rsidR="001C09C5" w:rsidRPr="001B2D6B" w:rsidRDefault="001C09C5" w:rsidP="001B2D6B">
      <w:pPr>
        <w:pStyle w:val="a9"/>
        <w:rPr>
          <w:rFonts w:ascii="Times" w:eastAsia="標楷體" w:hAnsi="Times" w:cs="Times New Roman"/>
        </w:rPr>
      </w:pPr>
      <w:r w:rsidRPr="005A087C">
        <w:rPr>
          <w:rStyle w:val="ab"/>
          <w:rFonts w:ascii="Times" w:hAnsi="Times" w:cs="Times New Roman"/>
        </w:rPr>
        <w:footnoteRef/>
      </w:r>
      <w:r w:rsidRPr="005A087C">
        <w:rPr>
          <w:rFonts w:ascii="Times" w:eastAsia="標楷體" w:hAnsi="Times" w:cs="Times New Roman"/>
        </w:rPr>
        <w:t xml:space="preserve"> Respond to Points 68g and 69g in the Concluding Observations of the Initial Report of the Republic of China (Taiwan) on the CRPD.</w:t>
      </w:r>
    </w:p>
  </w:footnote>
  <w:footnote w:id="113">
    <w:p w14:paraId="3CF42AF7" w14:textId="2C333A92" w:rsidR="001C09C5" w:rsidRPr="005A087C" w:rsidRDefault="001C09C5" w:rsidP="005C0232">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P</w:t>
      </w:r>
      <w:r w:rsidRPr="005A087C">
        <w:rPr>
          <w:rFonts w:ascii="Times" w:eastAsia="標楷體" w:hAnsi="Times" w:cs="Times New Roman"/>
        </w:rPr>
        <w:t>oints 239 and 249 respond to Points 68d and 69d in the Concluding Observations of the Initial Report of the Republic of China (Taiwan) on the CRPD.</w:t>
      </w:r>
    </w:p>
  </w:footnote>
  <w:footnote w:id="114">
    <w:p w14:paraId="57D8B788" w14:textId="741E1C0C" w:rsidR="001C09C5" w:rsidRPr="005A087C" w:rsidRDefault="001C09C5" w:rsidP="005C0232">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By referring to the SDGs Indicator 16.7.1. </w:t>
      </w:r>
    </w:p>
  </w:footnote>
  <w:footnote w:id="115">
    <w:p w14:paraId="6B557FC6" w14:textId="5EFAAAF7" w:rsidR="001C09C5" w:rsidRPr="00944A6C" w:rsidRDefault="001C09C5" w:rsidP="00944A6C">
      <w:pPr>
        <w:pStyle w:val="a9"/>
        <w:rPr>
          <w:rFonts w:ascii="Times" w:eastAsia="標楷體" w:hAnsi="Times" w:cs="Times New Roman"/>
        </w:rPr>
      </w:pPr>
      <w:r w:rsidRPr="005A087C">
        <w:rPr>
          <w:rStyle w:val="ab"/>
          <w:rFonts w:ascii="Times" w:hAnsi="Times" w:cs="Times New Roman"/>
        </w:rPr>
        <w:footnoteRef/>
      </w:r>
      <w:r w:rsidRPr="005A087C">
        <w:rPr>
          <w:rFonts w:ascii="Times" w:eastAsia="標楷體" w:hAnsi="Times" w:cs="Times New Roman"/>
        </w:rPr>
        <w:t xml:space="preserve"> Responds to Points 68f and 69f in the Concluding Observations of the Initial Report of the Republic of China (Taiwan) on the CRPD.</w:t>
      </w:r>
    </w:p>
  </w:footnote>
  <w:footnote w:id="116">
    <w:p w14:paraId="1F8F93DF" w14:textId="6E546BF0" w:rsidR="001C09C5" w:rsidRPr="005A087C" w:rsidRDefault="001C09C5" w:rsidP="00944A6C">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Points 68h and 69h in the Concluding Observations of the Initial Report of the Republic of China (Taiwan) on the CRPD.</w:t>
      </w:r>
    </w:p>
  </w:footnote>
  <w:footnote w:id="117">
    <w:p w14:paraId="698D159E" w14:textId="23DA8F14" w:rsidR="001C09C5" w:rsidRPr="005A087C" w:rsidRDefault="001C09C5" w:rsidP="00944A6C">
      <w:pPr>
        <w:pStyle w:val="a9"/>
        <w:ind w:left="1"/>
        <w:rPr>
          <w:rFonts w:ascii="Times" w:hAnsi="Times" w:cs="Times New Roman"/>
        </w:rPr>
      </w:pPr>
      <w:r w:rsidRPr="005A087C">
        <w:rPr>
          <w:rStyle w:val="ab"/>
          <w:rFonts w:ascii="Times" w:hAnsi="Times" w:cs="Times New Roman"/>
        </w:rPr>
        <w:footnoteRef/>
      </w:r>
      <w:r w:rsidRPr="005A087C">
        <w:rPr>
          <w:rFonts w:ascii="Times" w:hAnsi="Times" w:cs="Times New Roman"/>
        </w:rPr>
        <w:t xml:space="preserve"> </w:t>
      </w:r>
      <w:r w:rsidRPr="005A087C">
        <w:rPr>
          <w:rFonts w:ascii="Times" w:eastAsia="標楷體" w:hAnsi="Times" w:cs="Times New Roman" w:hint="eastAsia"/>
          <w:szCs w:val="24"/>
        </w:rPr>
        <w:t>F</w:t>
      </w:r>
      <w:r w:rsidRPr="005A087C">
        <w:rPr>
          <w:rFonts w:ascii="Times" w:eastAsia="標楷體" w:hAnsi="Times" w:cs="Times New Roman"/>
          <w:szCs w:val="24"/>
        </w:rPr>
        <w:t>or example, NHI, occupation-based civil servant and teacher insurance, labor insurance, farmers’ insurance, insurance for military personnel, and retirement insurance.</w:t>
      </w:r>
    </w:p>
  </w:footnote>
  <w:footnote w:id="118">
    <w:p w14:paraId="34E73FE7" w14:textId="12AFADB0" w:rsidR="001C09C5" w:rsidRPr="005A087C" w:rsidRDefault="001C09C5" w:rsidP="00944A6C">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Points 70c and 71c in the Concluding Observations of the Initial Report of the Republic of China (Taiwan) on the CRPD.</w:t>
      </w:r>
    </w:p>
  </w:footnote>
  <w:footnote w:id="119">
    <w:p w14:paraId="7CAAA183" w14:textId="5F5E857E" w:rsidR="001C09C5" w:rsidRPr="005A087C" w:rsidRDefault="001C09C5" w:rsidP="00944A6C">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Points 70a and 71a in the Concluding Observations of the Initial Report of the Republic of China (Taiwan) on the CRPD.</w:t>
      </w:r>
    </w:p>
  </w:footnote>
  <w:footnote w:id="120">
    <w:p w14:paraId="3BDC7E68" w14:textId="3F01FEF3" w:rsidR="001C09C5" w:rsidRPr="005A087C" w:rsidRDefault="001C09C5" w:rsidP="00944A6C">
      <w:pPr>
        <w:pStyle w:val="a9"/>
        <w:rPr>
          <w:rFonts w:ascii="Times" w:eastAsia="標楷體" w:hAnsi="Times" w:cs="Times New Roman"/>
        </w:rPr>
      </w:pPr>
      <w:r w:rsidRPr="005A087C">
        <w:rPr>
          <w:rStyle w:val="ab"/>
          <w:rFonts w:ascii="Times"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P</w:t>
      </w:r>
      <w:r w:rsidRPr="005A087C">
        <w:rPr>
          <w:rFonts w:ascii="Times" w:eastAsia="標楷體" w:hAnsi="Times" w:cs="Times New Roman"/>
        </w:rPr>
        <w:t>oints 251 and 252 respond to Points 70d and 71d in the Concluding Observations of the Initial Report of the Republic of China (Taiwan) on the CRPD.</w:t>
      </w:r>
    </w:p>
    <w:p w14:paraId="14EA1EB2" w14:textId="4A9E9009" w:rsidR="001C09C5" w:rsidRPr="005A087C" w:rsidRDefault="001C09C5" w:rsidP="00F370E0">
      <w:pPr>
        <w:pStyle w:val="a9"/>
        <w:rPr>
          <w:rFonts w:ascii="Times" w:eastAsia="標楷體" w:hAnsi="Times" w:cs="Times New Roman"/>
        </w:rPr>
      </w:pPr>
      <w:r w:rsidRPr="005A087C">
        <w:rPr>
          <w:rFonts w:ascii="Times" w:eastAsia="標楷體" w:hAnsi="Times" w:cs="Times New Roman"/>
        </w:rPr>
        <w:t>This point responds to Points 52a and 53a in the Concluding Observations of the Initial Report of the Republic of China (Taiwan) on the CRPD.</w:t>
      </w:r>
    </w:p>
  </w:footnote>
  <w:footnote w:id="121">
    <w:p w14:paraId="122315D1" w14:textId="65CF9FBB" w:rsidR="001C09C5" w:rsidRPr="005A087C" w:rsidRDefault="001C09C5" w:rsidP="009F772B">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Points 70b and 71b in the Concluding Observations of the Initial Report of the Republic of China (Taiwan) on the CRPD.</w:t>
      </w:r>
    </w:p>
  </w:footnote>
  <w:footnote w:id="122">
    <w:p w14:paraId="7BC5F7D9" w14:textId="1E4AE4D6" w:rsidR="001C09C5" w:rsidRPr="005A087C" w:rsidRDefault="001C09C5" w:rsidP="009F772B">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Points 72a and 73a in the Concluding Observations of the Initial Report of the Republic of China (Taiwan) on the CRPD.</w:t>
      </w:r>
    </w:p>
  </w:footnote>
  <w:footnote w:id="123">
    <w:p w14:paraId="26FB1035" w14:textId="4F084765" w:rsidR="001C09C5" w:rsidRPr="009F772B" w:rsidRDefault="001C09C5" w:rsidP="009F772B">
      <w:pPr>
        <w:pStyle w:val="a9"/>
        <w:rPr>
          <w:rFonts w:ascii="Times" w:eastAsia="標楷體" w:hAnsi="Times" w:cs="Times New Roman"/>
        </w:rPr>
      </w:pPr>
      <w:r w:rsidRPr="005A087C">
        <w:rPr>
          <w:rStyle w:val="ab"/>
          <w:rFonts w:ascii="Times" w:hAnsi="Times" w:cs="Times New Roman"/>
        </w:rPr>
        <w:footnoteRef/>
      </w:r>
      <w:r w:rsidRPr="005A087C">
        <w:rPr>
          <w:rFonts w:ascii="Times" w:eastAsia="標楷體" w:hAnsi="Times" w:cs="Times New Roman"/>
        </w:rPr>
        <w:t xml:space="preserve"> Points 255 and 256 respond to Points 72c and 73c in the Concluding Observations of the Initial Report of the Republic of China (Taiwan) on the CRPD.</w:t>
      </w:r>
    </w:p>
  </w:footnote>
  <w:footnote w:id="124">
    <w:p w14:paraId="62386F45" w14:textId="0BA7C6C9" w:rsidR="001C09C5" w:rsidRPr="005A087C" w:rsidRDefault="001C09C5" w:rsidP="009F772B">
      <w:pPr>
        <w:pStyle w:val="a9"/>
        <w:ind w:left="1"/>
        <w:rPr>
          <w:rFonts w:ascii="Times" w:eastAsia="標楷體" w:hAnsi="Times" w:cs="Times New Roman"/>
          <w:color w:val="000000" w:themeColor="text1"/>
        </w:rPr>
      </w:pPr>
      <w:r w:rsidRPr="005A087C">
        <w:rPr>
          <w:rStyle w:val="ab"/>
          <w:rFonts w:ascii="Times"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color w:val="000000" w:themeColor="text1"/>
        </w:rPr>
        <w:t>T</w:t>
      </w:r>
      <w:r w:rsidRPr="005A087C">
        <w:rPr>
          <w:rFonts w:ascii="Times" w:eastAsia="標楷體" w:hAnsi="Times" w:cs="Times New Roman"/>
          <w:color w:val="000000" w:themeColor="text1"/>
        </w:rPr>
        <w:t xml:space="preserve">he costs of easy-read voting manuals, voting </w:t>
      </w:r>
      <w:r w:rsidRPr="009F772B">
        <w:rPr>
          <w:rFonts w:ascii="Times" w:eastAsia="標楷體" w:hAnsi="Times" w:cs="Times New Roman"/>
        </w:rPr>
        <w:t xml:space="preserve">booths for </w:t>
      </w:r>
      <w:r w:rsidRPr="009F772B">
        <w:rPr>
          <w:rFonts w:ascii="Times New Roman" w:eastAsia="標楷體" w:hAnsi="Times New Roman" w:cs="Times New Roman"/>
          <w:szCs w:val="24"/>
        </w:rPr>
        <w:t>people</w:t>
      </w:r>
      <w:r w:rsidRPr="009F772B">
        <w:rPr>
          <w:rFonts w:ascii="Times" w:eastAsia="標楷體" w:hAnsi="Times" w:cs="Times New Roman"/>
        </w:rPr>
        <w:t xml:space="preserve"> with disabilities, voting auxiliaries for </w:t>
      </w:r>
      <w:r w:rsidRPr="009F772B">
        <w:rPr>
          <w:rFonts w:ascii="Times New Roman" w:eastAsia="標楷體" w:hAnsi="Times New Roman" w:cs="Times New Roman"/>
          <w:szCs w:val="24"/>
        </w:rPr>
        <w:t>people</w:t>
      </w:r>
      <w:r w:rsidRPr="009F772B">
        <w:rPr>
          <w:rFonts w:ascii="Times" w:eastAsia="標楷體" w:hAnsi="Times" w:cs="Times New Roman"/>
        </w:rPr>
        <w:t xml:space="preserve"> with visual impairment, and simple accessible facilities </w:t>
      </w:r>
      <w:r w:rsidRPr="005A087C">
        <w:rPr>
          <w:rFonts w:ascii="Times" w:eastAsia="標楷體" w:hAnsi="Times" w:cs="Times New Roman"/>
          <w:color w:val="000000" w:themeColor="text1"/>
        </w:rPr>
        <w:t>at polling stations were NT$331,000, NT$1.728 million, NT$980,000, and NT$4.199 million, respectively.</w:t>
      </w:r>
    </w:p>
  </w:footnote>
  <w:footnote w:id="125">
    <w:p w14:paraId="6F434CB1" w14:textId="020ECD97" w:rsidR="001C09C5" w:rsidRPr="005A087C" w:rsidRDefault="001C09C5" w:rsidP="00D12AA4">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P</w:t>
      </w:r>
      <w:r w:rsidRPr="005A087C">
        <w:rPr>
          <w:rFonts w:ascii="Times" w:eastAsia="標楷體" w:hAnsi="Times" w:cs="Times New Roman"/>
        </w:rPr>
        <w:t>oints 258 and 259 respond to Points 74a and 75a in the Concluding Observations of the Initial Report of the Republic of China (Taiwan) on the CRPD.</w:t>
      </w:r>
    </w:p>
    <w:p w14:paraId="03E22188" w14:textId="0CF1C59E" w:rsidR="001C09C5" w:rsidRPr="005A087C" w:rsidRDefault="001C09C5" w:rsidP="00F370E0">
      <w:pPr>
        <w:pStyle w:val="a9"/>
        <w:rPr>
          <w:rFonts w:ascii="Times" w:eastAsia="標楷體" w:hAnsi="Times" w:cs="Times New Roman"/>
        </w:rPr>
      </w:pPr>
      <w:r w:rsidRPr="005A087C">
        <w:rPr>
          <w:rFonts w:ascii="Times" w:eastAsia="標楷體" w:hAnsi="Times" w:cs="Times New Roman"/>
        </w:rPr>
        <w:t>This point responds to Points 74c and 75c in the Concluding Observations of the Initial Report of the Republic of China (Taiwan) on the CRPD.</w:t>
      </w:r>
    </w:p>
  </w:footnote>
  <w:footnote w:id="126">
    <w:p w14:paraId="3D1F1942" w14:textId="0936882D" w:rsidR="001C09C5" w:rsidRPr="005A087C" w:rsidRDefault="001C09C5" w:rsidP="003102EA">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Points 74b and 75b in the Concluding Observations of the Initial Report of the Republic of China (Taiwan) on the CRPD.</w:t>
      </w:r>
    </w:p>
  </w:footnote>
  <w:footnote w:id="127">
    <w:p w14:paraId="4E07A8E0" w14:textId="40704872" w:rsidR="001C09C5" w:rsidRPr="005A087C" w:rsidRDefault="001C09C5" w:rsidP="005729CA">
      <w:pPr>
        <w:pStyle w:val="a9"/>
        <w:rPr>
          <w:rFonts w:ascii="Times" w:eastAsia="標楷體" w:hAnsi="Times" w:cs="Times New Roman"/>
        </w:rPr>
      </w:pPr>
      <w:r w:rsidRPr="005A087C">
        <w:rPr>
          <w:rStyle w:val="ab"/>
          <w:rFonts w:ascii="Times" w:hAnsi="Times" w:cs="Times New Roman"/>
        </w:rPr>
        <w:footnoteRef/>
      </w:r>
      <w:r w:rsidRPr="005A087C">
        <w:rPr>
          <w:rFonts w:ascii="Times" w:eastAsia="標楷體" w:hAnsi="Times" w:cs="Times New Roman"/>
        </w:rPr>
        <w:t xml:space="preserve"> </w:t>
      </w:r>
      <w:r w:rsidRPr="005A087C">
        <w:rPr>
          <w:rFonts w:ascii="Times" w:eastAsia="標楷體" w:hAnsi="Times" w:cs="Times New Roman" w:hint="eastAsia"/>
        </w:rPr>
        <w:t>P</w:t>
      </w:r>
      <w:r w:rsidRPr="005A087C">
        <w:rPr>
          <w:rFonts w:ascii="Times" w:eastAsia="標楷體" w:hAnsi="Times" w:cs="Times New Roman"/>
        </w:rPr>
        <w:t>oints 269 and 270 respond to Points 74d and 75d in the Concluding Observations of the Initial Report of the Republic of China (Taiwan) on the CRPD.</w:t>
      </w:r>
    </w:p>
  </w:footnote>
  <w:footnote w:id="128">
    <w:p w14:paraId="1D936CB9" w14:textId="57AEC198" w:rsidR="001C09C5" w:rsidRPr="005A087C" w:rsidRDefault="001C09C5" w:rsidP="00451412">
      <w:pPr>
        <w:pStyle w:val="a9"/>
        <w:rPr>
          <w:rFonts w:ascii="Times" w:hAnsi="Times" w:cs="Times New Roman"/>
          <w:color w:val="0070C0"/>
        </w:rPr>
      </w:pPr>
      <w:r w:rsidRPr="005A087C">
        <w:rPr>
          <w:rStyle w:val="ab"/>
          <w:rFonts w:ascii="Times" w:hAnsi="Times" w:cs="Times New Roman"/>
        </w:rPr>
        <w:footnoteRef/>
      </w:r>
      <w:r w:rsidRPr="005A087C">
        <w:rPr>
          <w:rFonts w:ascii="Times" w:hAnsi="Times" w:cs="Times New Roman"/>
        </w:rPr>
        <w:t xml:space="preserve"> </w:t>
      </w:r>
      <w:r w:rsidRPr="005A087C">
        <w:rPr>
          <w:rFonts w:ascii="Times" w:eastAsia="標楷體" w:hAnsi="Times" w:cs="Times New Roman" w:hint="eastAsia"/>
          <w:szCs w:val="24"/>
        </w:rPr>
        <w:t>T</w:t>
      </w:r>
      <w:r w:rsidRPr="005A087C">
        <w:rPr>
          <w:rFonts w:ascii="Times" w:eastAsia="標楷體" w:hAnsi="Times" w:cs="Times New Roman"/>
          <w:szCs w:val="24"/>
        </w:rPr>
        <w:t>he programs include television series, television films, and creative audiovisual programs with new media, cross-platform content, and children’s programs.</w:t>
      </w:r>
    </w:p>
  </w:footnote>
  <w:footnote w:id="129">
    <w:p w14:paraId="481EDD16" w14:textId="28ABB50B" w:rsidR="001C09C5" w:rsidRPr="005A087C" w:rsidRDefault="001C09C5" w:rsidP="00451412">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Points 74a and 75a in the Concluding Observations of the Initial Report of the Republic of China (Taiwan) on the CRPD.</w:t>
      </w:r>
    </w:p>
  </w:footnote>
  <w:footnote w:id="130">
    <w:p w14:paraId="4DAEA2C7" w14:textId="77777777" w:rsidR="001C09C5" w:rsidRPr="005A087C" w:rsidRDefault="001C09C5" w:rsidP="00451412">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Please visit</w:t>
      </w:r>
      <w:r w:rsidRPr="005A087C">
        <w:rPr>
          <w:rFonts w:ascii="Times" w:eastAsia="標楷體" w:hAnsi="Times" w:cs="Times New Roman" w:hint="eastAsia"/>
        </w:rPr>
        <w:t xml:space="preserve"> </w:t>
      </w:r>
      <w:r w:rsidRPr="005A087C">
        <w:t>https://dep.mohw.gov.tw/DOS/lp-4646-113.html</w:t>
      </w:r>
    </w:p>
  </w:footnote>
  <w:footnote w:id="131">
    <w:p w14:paraId="479A7F42" w14:textId="490432DF" w:rsidR="001C09C5" w:rsidRPr="005A087C" w:rsidRDefault="001C09C5" w:rsidP="00EF61F5">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Points 76 and 77 in the Concluding Observations of the Initial Report of the Republic of China (Taiwan) on the CRPD.</w:t>
      </w:r>
    </w:p>
  </w:footnote>
  <w:footnote w:id="132">
    <w:p w14:paraId="2FBAAF9E" w14:textId="77777777" w:rsidR="001C09C5" w:rsidRPr="005A087C" w:rsidRDefault="001C09C5" w:rsidP="00C14DFD">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Please visit https://www.mol.gov.tw/statistics/2462/19476/</w:t>
      </w:r>
    </w:p>
  </w:footnote>
  <w:footnote w:id="133">
    <w:p w14:paraId="52CDB9CA" w14:textId="435AEBAE" w:rsidR="001C09C5" w:rsidRPr="005A087C" w:rsidRDefault="001C09C5" w:rsidP="00C14DFD">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Points 78 and 79 in the Concluding Observations of the Initial Report of the Republic of China (Taiwan) on the CRPD.</w:t>
      </w:r>
    </w:p>
  </w:footnote>
  <w:footnote w:id="134">
    <w:p w14:paraId="5F4AF7AB" w14:textId="12103FEA" w:rsidR="001C09C5" w:rsidRPr="005A087C" w:rsidRDefault="001C09C5" w:rsidP="00C14DFD">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Points 80a and 81a in the Concluding Observations of the Initial Report of the Republic of China (Taiwan) on the CRPD.</w:t>
      </w:r>
    </w:p>
  </w:footnote>
  <w:footnote w:id="135">
    <w:p w14:paraId="5D6C1D30" w14:textId="30F3DC11" w:rsidR="001C09C5" w:rsidRPr="005A087C" w:rsidRDefault="001C09C5" w:rsidP="00C14DFD">
      <w:pPr>
        <w:pStyle w:val="a9"/>
        <w:rPr>
          <w:rFonts w:ascii="Times" w:eastAsia="標楷體" w:hAnsi="Times" w:cs="Times New Roman"/>
        </w:rPr>
      </w:pPr>
      <w:r w:rsidRPr="005A087C">
        <w:rPr>
          <w:rStyle w:val="ab"/>
          <w:rFonts w:ascii="Times" w:eastAsia="標楷體" w:hAnsi="Times" w:cs="Times New Roman"/>
        </w:rPr>
        <w:footnoteRef/>
      </w:r>
      <w:r w:rsidRPr="005A087C">
        <w:rPr>
          <w:rFonts w:ascii="Times" w:eastAsia="標楷體" w:hAnsi="Times" w:cs="Times New Roman"/>
        </w:rPr>
        <w:t xml:space="preserve"> Responds to Points 80b and 81b in the Concluding Observations of the Initial Report of the Republic of China (Taiwan) on the CRPD.</w:t>
      </w:r>
    </w:p>
  </w:footnote>
  <w:footnote w:id="136">
    <w:p w14:paraId="08D2779D" w14:textId="13547C5C" w:rsidR="001C09C5" w:rsidRPr="00C14DFD" w:rsidRDefault="001C09C5" w:rsidP="00C14DFD">
      <w:pPr>
        <w:pStyle w:val="a9"/>
        <w:ind w:left="1"/>
        <w:jc w:val="both"/>
        <w:rPr>
          <w:rFonts w:ascii="Times" w:eastAsia="標楷體" w:hAnsi="Times" w:cs="Times New Roman"/>
        </w:rPr>
      </w:pPr>
      <w:r w:rsidRPr="005A087C">
        <w:rPr>
          <w:rStyle w:val="ab"/>
          <w:rFonts w:ascii="Times" w:hAnsi="Times" w:cs="Times New Roman"/>
        </w:rPr>
        <w:footnoteRef/>
      </w:r>
      <w:r w:rsidRPr="005A087C">
        <w:rPr>
          <w:rFonts w:ascii="Times" w:hAnsi="Times" w:cs="Times New Roman"/>
        </w:rPr>
        <w:t xml:space="preserve"> </w:t>
      </w:r>
      <w:r w:rsidRPr="005A087C">
        <w:rPr>
          <w:rFonts w:ascii="Times" w:eastAsia="標楷體" w:hAnsi="Times" w:cs="Times New Roman"/>
        </w:rPr>
        <w:t xml:space="preserve">The </w:t>
      </w:r>
      <w:r w:rsidRPr="00C14DFD">
        <w:rPr>
          <w:rFonts w:ascii="Times" w:eastAsia="標楷體" w:hAnsi="Times" w:cs="Times New Roman"/>
        </w:rPr>
        <w:t xml:space="preserve">percentage of experts, scholars, people with disabilities, and their representative organizations shall be no less than half of </w:t>
      </w:r>
      <w:r>
        <w:rPr>
          <w:rFonts w:ascii="Times" w:eastAsia="標楷體" w:hAnsi="Times" w:cs="Times New Roman"/>
        </w:rPr>
        <w:t xml:space="preserve">the </w:t>
      </w:r>
      <w:r w:rsidRPr="00C14DFD">
        <w:rPr>
          <w:rFonts w:ascii="Times" w:eastAsia="標楷體" w:hAnsi="Times" w:cs="Times New Roman"/>
        </w:rPr>
        <w:t>total number of the Executive Yuan’s CPRPD members. At present, no less than one</w:t>
      </w:r>
      <w:r w:rsidR="00532BFA">
        <w:rPr>
          <w:rFonts w:ascii="Times" w:eastAsia="標楷體" w:hAnsi="Times" w:cs="Times New Roman"/>
        </w:rPr>
        <w:t xml:space="preserve"> </w:t>
      </w:r>
      <w:r w:rsidRPr="00C14DFD">
        <w:rPr>
          <w:rFonts w:ascii="Times" w:eastAsia="標楷體" w:hAnsi="Times" w:cs="Times New Roman"/>
        </w:rPr>
        <w:t>third of the total committee seats on any CPRPD shall be held by such parties; the government is attempting to amend existing regulation</w:t>
      </w:r>
      <w:r>
        <w:rPr>
          <w:rFonts w:ascii="Times" w:eastAsia="標楷體" w:hAnsi="Times" w:cs="Times New Roman"/>
        </w:rPr>
        <w:t>s</w:t>
      </w:r>
      <w:r w:rsidRPr="00C14DFD">
        <w:rPr>
          <w:rFonts w:ascii="Times" w:eastAsia="標楷體" w:hAnsi="Times" w:cs="Times New Roman"/>
        </w:rPr>
        <w:t xml:space="preserve"> and stipulate that </w:t>
      </w:r>
      <w:r w:rsidRPr="00C14DFD">
        <w:rPr>
          <w:rFonts w:ascii="Times New Roman" w:eastAsia="標楷體" w:hAnsi="Times New Roman" w:cs="Times New Roman"/>
          <w:szCs w:val="24"/>
        </w:rPr>
        <w:t>people</w:t>
      </w:r>
      <w:r w:rsidRPr="00C14DFD">
        <w:rPr>
          <w:rFonts w:ascii="Times" w:eastAsia="標楷體" w:hAnsi="Times" w:cs="Times New Roman"/>
        </w:rPr>
        <w:t xml:space="preserve"> with disabilities must constitute at least </w:t>
      </w:r>
      <w:r>
        <w:rPr>
          <w:rFonts w:ascii="Times" w:eastAsia="標楷體" w:hAnsi="Times" w:cs="Times New Roman"/>
        </w:rPr>
        <w:t>one-</w:t>
      </w:r>
      <w:r w:rsidRPr="00C14DFD">
        <w:rPr>
          <w:rFonts w:ascii="Times" w:eastAsia="標楷體" w:hAnsi="Times" w:cs="Times New Roman"/>
        </w:rPr>
        <w:t xml:space="preserve">quarter </w:t>
      </w:r>
      <w:r w:rsidRPr="005A087C">
        <w:rPr>
          <w:rFonts w:ascii="Times" w:eastAsia="標楷體" w:hAnsi="Times" w:cs="Times New Roman"/>
        </w:rPr>
        <w:t>of the total seats.</w:t>
      </w:r>
    </w:p>
  </w:footnote>
  <w:footnote w:id="137">
    <w:p w14:paraId="5936CE56" w14:textId="6D77B83C" w:rsidR="001C09C5" w:rsidRPr="005A087C" w:rsidRDefault="001C09C5" w:rsidP="00C14DFD">
      <w:pPr>
        <w:pStyle w:val="a9"/>
        <w:rPr>
          <w:rFonts w:ascii="Times" w:hAnsi="Times" w:cs="Times New Roman"/>
        </w:rPr>
      </w:pPr>
      <w:r w:rsidRPr="005A087C">
        <w:rPr>
          <w:rStyle w:val="ab"/>
          <w:rFonts w:ascii="Times" w:hAnsi="Times" w:cs="Times New Roman"/>
        </w:rPr>
        <w:footnoteRef/>
      </w:r>
      <w:r w:rsidRPr="005A087C">
        <w:rPr>
          <w:rFonts w:ascii="Times" w:eastAsia="標楷體" w:hAnsi="Times" w:cs="Times New Roman"/>
        </w:rPr>
        <w:t xml:space="preserve"> Responds to Points 80d and 81d in the Concluding Observations of the Initial Report of the Republic of China (Taiwan) on the CRPD.</w:t>
      </w:r>
    </w:p>
  </w:footnote>
  <w:footnote w:id="138">
    <w:p w14:paraId="0D5FCF2A" w14:textId="2C7DC6D5" w:rsidR="001C09C5" w:rsidRPr="007F2C21" w:rsidRDefault="001C09C5" w:rsidP="00C14DFD">
      <w:pPr>
        <w:pStyle w:val="a9"/>
        <w:rPr>
          <w:rFonts w:ascii="Times" w:hAnsi="Times"/>
        </w:rPr>
      </w:pPr>
      <w:r w:rsidRPr="005A087C">
        <w:rPr>
          <w:rStyle w:val="ab"/>
          <w:rFonts w:ascii="Times" w:hAnsi="Times"/>
        </w:rPr>
        <w:footnoteRef/>
      </w:r>
      <w:r w:rsidRPr="005A087C">
        <w:rPr>
          <w:rFonts w:ascii="Times" w:eastAsia="標楷體" w:hAnsi="Times" w:cs="Times New Roman" w:hint="eastAsia"/>
        </w:rPr>
        <w:t xml:space="preserve"> </w:t>
      </w:r>
      <w:r w:rsidRPr="005A087C">
        <w:rPr>
          <w:rFonts w:ascii="Times" w:eastAsia="標楷體" w:hAnsi="Times" w:cs="Times New Roman"/>
        </w:rPr>
        <w:t>Responds to Points 80c and 81c in the Concluding Observations of the Initial Report of the Republic of China (Taiwan) on the CRPD.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AE87B" w14:textId="39092B2B" w:rsidR="001C09C5" w:rsidRPr="00F370E0" w:rsidRDefault="001C09C5" w:rsidP="00F370E0">
    <w:pPr>
      <w:pStyle w:val="af"/>
      <w:jc w:val="center"/>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A1B"/>
    <w:multiLevelType w:val="hybridMultilevel"/>
    <w:tmpl w:val="DEE814B4"/>
    <w:lvl w:ilvl="0" w:tplc="C3B0B23E">
      <w:start w:val="15"/>
      <w:numFmt w:val="decimal"/>
      <w:lvlText w:val="%1."/>
      <w:lvlJc w:val="left"/>
      <w:pPr>
        <w:ind w:left="1190" w:hanging="480"/>
      </w:pPr>
      <w:rPr>
        <w:rFonts w:ascii="Times New Roman" w:eastAsia="標楷體" w:hAnsi="Times New Roman" w:cs="Times New Roman" w:hint="default"/>
        <w:b w:val="0"/>
        <w:strike w:val="0"/>
        <w:dstrike w:val="0"/>
        <w:color w:val="auto"/>
        <w:sz w:val="24"/>
        <w:szCs w:val="24"/>
      </w:rPr>
    </w:lvl>
    <w:lvl w:ilvl="1" w:tplc="A1F271A6">
      <w:start w:val="1"/>
      <w:numFmt w:val="decimal"/>
      <w:lvlText w:val="(%2)"/>
      <w:lvlJc w:val="left"/>
      <w:pPr>
        <w:ind w:left="960" w:hanging="480"/>
      </w:pPr>
      <w:rPr>
        <w:rFonts w:ascii="Times New Roman" w:eastAsia="標楷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3143BE"/>
    <w:multiLevelType w:val="multilevel"/>
    <w:tmpl w:val="2D1E2940"/>
    <w:styleLink w:val="List16"/>
    <w:lvl w:ilvl="0">
      <w:start w:val="1"/>
      <w:numFmt w:val="lowerLetter"/>
      <w:lvlText w:val="%1)"/>
      <w:lvlJc w:val="left"/>
      <w:pPr>
        <w:tabs>
          <w:tab w:val="num" w:pos="360"/>
        </w:tabs>
        <w:ind w:left="360" w:hanging="360"/>
      </w:pPr>
      <w:rPr>
        <w:rFonts w:hint="eastAsia"/>
        <w:b/>
        <w:bCs/>
        <w:position w:val="0"/>
        <w:sz w:val="24"/>
        <w:szCs w:val="24"/>
      </w:rPr>
    </w:lvl>
    <w:lvl w:ilvl="1">
      <w:start w:val="1"/>
      <w:numFmt w:val="decimal"/>
      <w:lvlText w:val="%2."/>
      <w:lvlJc w:val="left"/>
      <w:pPr>
        <w:tabs>
          <w:tab w:val="num" w:pos="960"/>
        </w:tabs>
        <w:ind w:left="960" w:hanging="480"/>
      </w:pPr>
      <w:rPr>
        <w:rFonts w:ascii="Century" w:eastAsia="Century" w:hAnsi="Century" w:cs="Century"/>
        <w:b/>
        <w:bCs/>
        <w:position w:val="0"/>
        <w:sz w:val="24"/>
        <w:szCs w:val="24"/>
      </w:rPr>
    </w:lvl>
    <w:lvl w:ilvl="2">
      <w:start w:val="1"/>
      <w:numFmt w:val="lowerRoman"/>
      <w:lvlText w:val="%3."/>
      <w:lvlJc w:val="left"/>
      <w:pPr>
        <w:tabs>
          <w:tab w:val="num" w:pos="1440"/>
        </w:tabs>
        <w:ind w:left="1440" w:hanging="596"/>
      </w:pPr>
      <w:rPr>
        <w:rFonts w:ascii="Century" w:eastAsia="Century" w:hAnsi="Century" w:cs="Century"/>
        <w:b/>
        <w:bCs/>
        <w:position w:val="0"/>
        <w:sz w:val="24"/>
        <w:szCs w:val="24"/>
      </w:rPr>
    </w:lvl>
    <w:lvl w:ilvl="3">
      <w:start w:val="1"/>
      <w:numFmt w:val="decimal"/>
      <w:lvlText w:val="%4."/>
      <w:lvlJc w:val="left"/>
      <w:pPr>
        <w:tabs>
          <w:tab w:val="num" w:pos="1920"/>
        </w:tabs>
        <w:ind w:left="1920" w:hanging="480"/>
      </w:pPr>
      <w:rPr>
        <w:rFonts w:ascii="Century" w:eastAsia="Century" w:hAnsi="Century" w:cs="Century"/>
        <w:b/>
        <w:bCs/>
        <w:position w:val="0"/>
        <w:sz w:val="24"/>
        <w:szCs w:val="24"/>
      </w:rPr>
    </w:lvl>
    <w:lvl w:ilvl="4">
      <w:start w:val="1"/>
      <w:numFmt w:val="decimal"/>
      <w:lvlText w:val="%5."/>
      <w:lvlJc w:val="left"/>
      <w:pPr>
        <w:tabs>
          <w:tab w:val="num" w:pos="2400"/>
        </w:tabs>
        <w:ind w:left="2400" w:hanging="480"/>
      </w:pPr>
      <w:rPr>
        <w:rFonts w:ascii="Century" w:eastAsia="Century" w:hAnsi="Century" w:cs="Century"/>
        <w:b/>
        <w:bCs/>
        <w:position w:val="0"/>
        <w:sz w:val="24"/>
        <w:szCs w:val="24"/>
      </w:rPr>
    </w:lvl>
    <w:lvl w:ilvl="5">
      <w:start w:val="1"/>
      <w:numFmt w:val="lowerRoman"/>
      <w:lvlText w:val="%6."/>
      <w:lvlJc w:val="left"/>
      <w:pPr>
        <w:tabs>
          <w:tab w:val="num" w:pos="2880"/>
        </w:tabs>
        <w:ind w:left="2880" w:hanging="596"/>
      </w:pPr>
      <w:rPr>
        <w:rFonts w:ascii="Century" w:eastAsia="Century" w:hAnsi="Century" w:cs="Century"/>
        <w:b/>
        <w:bCs/>
        <w:position w:val="0"/>
        <w:sz w:val="24"/>
        <w:szCs w:val="24"/>
      </w:rPr>
    </w:lvl>
    <w:lvl w:ilvl="6">
      <w:start w:val="1"/>
      <w:numFmt w:val="decimal"/>
      <w:lvlText w:val="%7."/>
      <w:lvlJc w:val="left"/>
      <w:pPr>
        <w:tabs>
          <w:tab w:val="num" w:pos="3360"/>
        </w:tabs>
        <w:ind w:left="3360" w:hanging="480"/>
      </w:pPr>
      <w:rPr>
        <w:rFonts w:ascii="Century" w:eastAsia="Century" w:hAnsi="Century" w:cs="Century"/>
        <w:b/>
        <w:bCs/>
        <w:position w:val="0"/>
        <w:sz w:val="24"/>
        <w:szCs w:val="24"/>
      </w:rPr>
    </w:lvl>
    <w:lvl w:ilvl="7">
      <w:start w:val="1"/>
      <w:numFmt w:val="decimal"/>
      <w:lvlText w:val="%8."/>
      <w:lvlJc w:val="left"/>
      <w:pPr>
        <w:tabs>
          <w:tab w:val="num" w:pos="3840"/>
        </w:tabs>
        <w:ind w:left="3840" w:hanging="480"/>
      </w:pPr>
      <w:rPr>
        <w:rFonts w:ascii="Century" w:eastAsia="Century" w:hAnsi="Century" w:cs="Century"/>
        <w:b/>
        <w:bCs/>
        <w:position w:val="0"/>
        <w:sz w:val="24"/>
        <w:szCs w:val="24"/>
      </w:rPr>
    </w:lvl>
    <w:lvl w:ilvl="8">
      <w:start w:val="1"/>
      <w:numFmt w:val="lowerRoman"/>
      <w:lvlText w:val="%9."/>
      <w:lvlJc w:val="left"/>
      <w:pPr>
        <w:tabs>
          <w:tab w:val="num" w:pos="4320"/>
        </w:tabs>
        <w:ind w:left="4320" w:hanging="596"/>
      </w:pPr>
      <w:rPr>
        <w:rFonts w:ascii="Century" w:eastAsia="Century" w:hAnsi="Century" w:cs="Century"/>
        <w:b/>
        <w:bCs/>
        <w:position w:val="0"/>
        <w:sz w:val="24"/>
        <w:szCs w:val="24"/>
      </w:rPr>
    </w:lvl>
  </w:abstractNum>
  <w:abstractNum w:abstractNumId="2" w15:restartNumberingAfterBreak="0">
    <w:nsid w:val="0CCB7069"/>
    <w:multiLevelType w:val="hybridMultilevel"/>
    <w:tmpl w:val="69EE3C06"/>
    <w:lvl w:ilvl="0" w:tplc="D3A8676C">
      <w:start w:val="3"/>
      <w:numFmt w:val="decimal"/>
      <w:lvlText w:val="%1."/>
      <w:lvlJc w:val="left"/>
      <w:pPr>
        <w:ind w:left="1047" w:hanging="480"/>
      </w:pPr>
      <w:rPr>
        <w:rFonts w:ascii="Times New Roman" w:hAnsi="Times New Roman" w:cs="Times New Roman"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B4BDE"/>
    <w:multiLevelType w:val="hybridMultilevel"/>
    <w:tmpl w:val="7A7EA2F4"/>
    <w:lvl w:ilvl="0" w:tplc="CB168074">
      <w:start w:val="1"/>
      <w:numFmt w:val="decimal"/>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594E08"/>
    <w:multiLevelType w:val="hybridMultilevel"/>
    <w:tmpl w:val="FCB44FB8"/>
    <w:lvl w:ilvl="0" w:tplc="04090015">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F72FB3"/>
    <w:multiLevelType w:val="hybridMultilevel"/>
    <w:tmpl w:val="BAB404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7E6219"/>
    <w:multiLevelType w:val="hybridMultilevel"/>
    <w:tmpl w:val="D528DD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1268E1"/>
    <w:multiLevelType w:val="hybridMultilevel"/>
    <w:tmpl w:val="9C66743A"/>
    <w:lvl w:ilvl="0" w:tplc="04090015">
      <w:start w:val="1"/>
      <w:numFmt w:val="upperLetter"/>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024A6A"/>
    <w:multiLevelType w:val="multilevel"/>
    <w:tmpl w:val="01A44F5C"/>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15:restartNumberingAfterBreak="0">
    <w:nsid w:val="1F0657E0"/>
    <w:multiLevelType w:val="hybridMultilevel"/>
    <w:tmpl w:val="F7A632CA"/>
    <w:lvl w:ilvl="0" w:tplc="E0B4DC26">
      <w:start w:val="1"/>
      <w:numFmt w:val="decimal"/>
      <w:lvlText w:val="%1."/>
      <w:lvlJc w:val="left"/>
      <w:pPr>
        <w:ind w:left="1190" w:hanging="480"/>
      </w:pPr>
      <w:rPr>
        <w:rFonts w:ascii="Times New Roman" w:eastAsia="標楷體" w:hAnsi="Times New Roman" w:cs="Times New Roman" w:hint="default"/>
        <w:b w:val="0"/>
        <w:strike w:val="0"/>
        <w:dstrike w:val="0"/>
        <w:color w:val="auto"/>
        <w:sz w:val="24"/>
        <w:szCs w:val="24"/>
      </w:rPr>
    </w:lvl>
    <w:lvl w:ilvl="1" w:tplc="A36025F8">
      <w:start w:val="1"/>
      <w:numFmt w:val="decimal"/>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A31095"/>
    <w:multiLevelType w:val="hybridMultilevel"/>
    <w:tmpl w:val="BAB404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3D65E2"/>
    <w:multiLevelType w:val="hybridMultilevel"/>
    <w:tmpl w:val="2C6CA9C4"/>
    <w:lvl w:ilvl="0" w:tplc="04090015">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E106B4"/>
    <w:multiLevelType w:val="multilevel"/>
    <w:tmpl w:val="96687FE8"/>
    <w:lvl w:ilvl="0">
      <w:numFmt w:val="bullet"/>
      <w:lvlText w:val="●"/>
      <w:lvlJc w:val="left"/>
      <w:pPr>
        <w:tabs>
          <w:tab w:val="num" w:pos="964"/>
        </w:tabs>
        <w:ind w:left="964" w:hanging="480"/>
      </w:pPr>
      <w:rPr>
        <w:rFonts w:ascii="Times" w:eastAsia="Times" w:hAnsi="Times" w:cs="Times"/>
        <w:b/>
        <w:bCs/>
        <w:position w:val="0"/>
        <w:sz w:val="21"/>
        <w:szCs w:val="21"/>
      </w:rPr>
    </w:lvl>
    <w:lvl w:ilvl="1">
      <w:start w:val="1"/>
      <w:numFmt w:val="bullet"/>
      <w:lvlText w:val="■"/>
      <w:lvlJc w:val="left"/>
      <w:pPr>
        <w:tabs>
          <w:tab w:val="num" w:pos="1444"/>
        </w:tabs>
        <w:ind w:left="1444" w:hanging="480"/>
      </w:pPr>
      <w:rPr>
        <w:rFonts w:ascii="Century" w:eastAsia="Century" w:hAnsi="Century" w:cs="Century"/>
        <w:b/>
        <w:bCs/>
        <w:position w:val="0"/>
        <w:sz w:val="24"/>
        <w:szCs w:val="24"/>
      </w:rPr>
    </w:lvl>
    <w:lvl w:ilvl="2">
      <w:start w:val="1"/>
      <w:numFmt w:val="bullet"/>
      <w:lvlText w:val="◆"/>
      <w:lvlJc w:val="left"/>
      <w:pPr>
        <w:tabs>
          <w:tab w:val="num" w:pos="1924"/>
        </w:tabs>
        <w:ind w:left="1924" w:hanging="480"/>
      </w:pPr>
      <w:rPr>
        <w:rFonts w:ascii="Century" w:eastAsia="Century" w:hAnsi="Century" w:cs="Century"/>
        <w:b/>
        <w:bCs/>
        <w:position w:val="0"/>
        <w:sz w:val="24"/>
        <w:szCs w:val="24"/>
      </w:rPr>
    </w:lvl>
    <w:lvl w:ilvl="3">
      <w:start w:val="1"/>
      <w:numFmt w:val="bullet"/>
      <w:lvlText w:val="●"/>
      <w:lvlJc w:val="left"/>
      <w:pPr>
        <w:tabs>
          <w:tab w:val="num" w:pos="2404"/>
        </w:tabs>
        <w:ind w:left="2404" w:hanging="480"/>
      </w:pPr>
      <w:rPr>
        <w:rFonts w:ascii="Century" w:eastAsia="Century" w:hAnsi="Century" w:cs="Century"/>
        <w:b/>
        <w:bCs/>
        <w:position w:val="0"/>
        <w:sz w:val="24"/>
        <w:szCs w:val="24"/>
      </w:rPr>
    </w:lvl>
    <w:lvl w:ilvl="4">
      <w:start w:val="1"/>
      <w:numFmt w:val="bullet"/>
      <w:lvlText w:val="■"/>
      <w:lvlJc w:val="left"/>
      <w:pPr>
        <w:tabs>
          <w:tab w:val="num" w:pos="2884"/>
        </w:tabs>
        <w:ind w:left="2884" w:hanging="480"/>
      </w:pPr>
      <w:rPr>
        <w:rFonts w:ascii="Century" w:eastAsia="Century" w:hAnsi="Century" w:cs="Century"/>
        <w:b/>
        <w:bCs/>
        <w:position w:val="0"/>
        <w:sz w:val="24"/>
        <w:szCs w:val="24"/>
      </w:rPr>
    </w:lvl>
    <w:lvl w:ilvl="5">
      <w:start w:val="1"/>
      <w:numFmt w:val="bullet"/>
      <w:lvlText w:val="◆"/>
      <w:lvlJc w:val="left"/>
      <w:pPr>
        <w:tabs>
          <w:tab w:val="num" w:pos="3364"/>
        </w:tabs>
        <w:ind w:left="3364" w:hanging="480"/>
      </w:pPr>
      <w:rPr>
        <w:rFonts w:ascii="Century" w:eastAsia="Century" w:hAnsi="Century" w:cs="Century"/>
        <w:b/>
        <w:bCs/>
        <w:position w:val="0"/>
        <w:sz w:val="24"/>
        <w:szCs w:val="24"/>
      </w:rPr>
    </w:lvl>
    <w:lvl w:ilvl="6">
      <w:start w:val="1"/>
      <w:numFmt w:val="bullet"/>
      <w:lvlText w:val="●"/>
      <w:lvlJc w:val="left"/>
      <w:pPr>
        <w:tabs>
          <w:tab w:val="num" w:pos="3844"/>
        </w:tabs>
        <w:ind w:left="3844" w:hanging="480"/>
      </w:pPr>
      <w:rPr>
        <w:rFonts w:ascii="Century" w:eastAsia="Century" w:hAnsi="Century" w:cs="Century"/>
        <w:b/>
        <w:bCs/>
        <w:position w:val="0"/>
        <w:sz w:val="24"/>
        <w:szCs w:val="24"/>
      </w:rPr>
    </w:lvl>
    <w:lvl w:ilvl="7">
      <w:start w:val="1"/>
      <w:numFmt w:val="bullet"/>
      <w:lvlText w:val="■"/>
      <w:lvlJc w:val="left"/>
      <w:pPr>
        <w:tabs>
          <w:tab w:val="num" w:pos="4324"/>
        </w:tabs>
        <w:ind w:left="4324" w:hanging="480"/>
      </w:pPr>
      <w:rPr>
        <w:rFonts w:ascii="Century" w:eastAsia="Century" w:hAnsi="Century" w:cs="Century"/>
        <w:b/>
        <w:bCs/>
        <w:position w:val="0"/>
        <w:sz w:val="24"/>
        <w:szCs w:val="24"/>
      </w:rPr>
    </w:lvl>
    <w:lvl w:ilvl="8">
      <w:start w:val="1"/>
      <w:numFmt w:val="bullet"/>
      <w:lvlText w:val="◆"/>
      <w:lvlJc w:val="left"/>
      <w:pPr>
        <w:tabs>
          <w:tab w:val="num" w:pos="4804"/>
        </w:tabs>
        <w:ind w:left="4804" w:hanging="480"/>
      </w:pPr>
      <w:rPr>
        <w:rFonts w:ascii="Century" w:eastAsia="Century" w:hAnsi="Century" w:cs="Century"/>
        <w:b/>
        <w:bCs/>
        <w:position w:val="0"/>
        <w:sz w:val="24"/>
        <w:szCs w:val="24"/>
      </w:rPr>
    </w:lvl>
  </w:abstractNum>
  <w:abstractNum w:abstractNumId="13" w15:restartNumberingAfterBreak="0">
    <w:nsid w:val="29BE10A5"/>
    <w:multiLevelType w:val="hybridMultilevel"/>
    <w:tmpl w:val="74681A0A"/>
    <w:lvl w:ilvl="0" w:tplc="04090015">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D563DA"/>
    <w:multiLevelType w:val="hybridMultilevel"/>
    <w:tmpl w:val="162E5BC4"/>
    <w:lvl w:ilvl="0" w:tplc="47E20A1E">
      <w:start w:val="1"/>
      <w:numFmt w:val="decimal"/>
      <w:lvlText w:val="%1."/>
      <w:lvlJc w:val="left"/>
      <w:pPr>
        <w:ind w:left="1047" w:hanging="480"/>
      </w:pPr>
      <w:rPr>
        <w:rFonts w:ascii="Times New Roman" w:hAnsi="Times New Roman" w:cs="Times New Roman" w:hint="default"/>
        <w:strike w:val="0"/>
        <w:color w:val="auto"/>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BE52979"/>
    <w:multiLevelType w:val="multilevel"/>
    <w:tmpl w:val="797291B0"/>
    <w:styleLink w:val="List8"/>
    <w:lvl w:ilvl="0">
      <w:start w:val="1"/>
      <w:numFmt w:val="lowerLetter"/>
      <w:lvlText w:val="%1)"/>
      <w:lvlJc w:val="left"/>
      <w:pPr>
        <w:tabs>
          <w:tab w:val="num" w:pos="1080"/>
        </w:tabs>
        <w:ind w:left="1080" w:hanging="360"/>
      </w:pPr>
      <w:rPr>
        <w:rFonts w:ascii="Times" w:eastAsia="Times" w:hAnsi="Times" w:cs="Times"/>
        <w:b/>
        <w:bCs/>
        <w:position w:val="0"/>
        <w:sz w:val="24"/>
        <w:szCs w:val="24"/>
      </w:rPr>
    </w:lvl>
    <w:lvl w:ilvl="1">
      <w:start w:val="1"/>
      <w:numFmt w:val="lowerLetter"/>
      <w:lvlText w:val="%2."/>
      <w:lvlJc w:val="left"/>
      <w:pPr>
        <w:tabs>
          <w:tab w:val="num" w:pos="1800"/>
        </w:tabs>
        <w:ind w:left="1800" w:hanging="360"/>
      </w:pPr>
      <w:rPr>
        <w:rFonts w:ascii="Century" w:eastAsia="Century" w:hAnsi="Century" w:cs="Century"/>
        <w:b/>
        <w:bCs/>
        <w:position w:val="0"/>
        <w:sz w:val="24"/>
        <w:szCs w:val="24"/>
      </w:rPr>
    </w:lvl>
    <w:lvl w:ilvl="2">
      <w:start w:val="1"/>
      <w:numFmt w:val="lowerRoman"/>
      <w:lvlText w:val="%3."/>
      <w:lvlJc w:val="left"/>
      <w:pPr>
        <w:tabs>
          <w:tab w:val="num" w:pos="2520"/>
        </w:tabs>
        <w:ind w:left="2520" w:hanging="296"/>
      </w:pPr>
      <w:rPr>
        <w:rFonts w:ascii="Century" w:eastAsia="Century" w:hAnsi="Century" w:cs="Century"/>
        <w:b/>
        <w:bCs/>
        <w:position w:val="0"/>
        <w:sz w:val="24"/>
        <w:szCs w:val="24"/>
      </w:rPr>
    </w:lvl>
    <w:lvl w:ilvl="3">
      <w:start w:val="1"/>
      <w:numFmt w:val="decimal"/>
      <w:lvlText w:val="%4."/>
      <w:lvlJc w:val="left"/>
      <w:pPr>
        <w:tabs>
          <w:tab w:val="num" w:pos="3240"/>
        </w:tabs>
        <w:ind w:left="3240" w:hanging="360"/>
      </w:pPr>
      <w:rPr>
        <w:rFonts w:ascii="Century" w:eastAsia="Century" w:hAnsi="Century" w:cs="Century"/>
        <w:b/>
        <w:bCs/>
        <w:position w:val="0"/>
        <w:sz w:val="24"/>
        <w:szCs w:val="24"/>
      </w:rPr>
    </w:lvl>
    <w:lvl w:ilvl="4">
      <w:start w:val="1"/>
      <w:numFmt w:val="lowerLetter"/>
      <w:lvlText w:val="%5."/>
      <w:lvlJc w:val="left"/>
      <w:pPr>
        <w:tabs>
          <w:tab w:val="num" w:pos="3960"/>
        </w:tabs>
        <w:ind w:left="3960" w:hanging="360"/>
      </w:pPr>
      <w:rPr>
        <w:rFonts w:ascii="Century" w:eastAsia="Century" w:hAnsi="Century" w:cs="Century"/>
        <w:b/>
        <w:bCs/>
        <w:position w:val="0"/>
        <w:sz w:val="24"/>
        <w:szCs w:val="24"/>
      </w:rPr>
    </w:lvl>
    <w:lvl w:ilvl="5">
      <w:start w:val="1"/>
      <w:numFmt w:val="lowerRoman"/>
      <w:lvlText w:val="%6."/>
      <w:lvlJc w:val="left"/>
      <w:pPr>
        <w:tabs>
          <w:tab w:val="num" w:pos="4680"/>
        </w:tabs>
        <w:ind w:left="4680" w:hanging="296"/>
      </w:pPr>
      <w:rPr>
        <w:rFonts w:ascii="Century" w:eastAsia="Century" w:hAnsi="Century" w:cs="Century"/>
        <w:b/>
        <w:bCs/>
        <w:position w:val="0"/>
        <w:sz w:val="24"/>
        <w:szCs w:val="24"/>
      </w:rPr>
    </w:lvl>
    <w:lvl w:ilvl="6">
      <w:start w:val="1"/>
      <w:numFmt w:val="decimal"/>
      <w:lvlText w:val="%7."/>
      <w:lvlJc w:val="left"/>
      <w:pPr>
        <w:tabs>
          <w:tab w:val="num" w:pos="5400"/>
        </w:tabs>
        <w:ind w:left="5400" w:hanging="360"/>
      </w:pPr>
      <w:rPr>
        <w:rFonts w:ascii="Century" w:eastAsia="Century" w:hAnsi="Century" w:cs="Century"/>
        <w:b/>
        <w:bCs/>
        <w:position w:val="0"/>
        <w:sz w:val="24"/>
        <w:szCs w:val="24"/>
      </w:rPr>
    </w:lvl>
    <w:lvl w:ilvl="7">
      <w:start w:val="1"/>
      <w:numFmt w:val="lowerLetter"/>
      <w:lvlText w:val="%8."/>
      <w:lvlJc w:val="left"/>
      <w:pPr>
        <w:tabs>
          <w:tab w:val="num" w:pos="6120"/>
        </w:tabs>
        <w:ind w:left="6120" w:hanging="360"/>
      </w:pPr>
      <w:rPr>
        <w:rFonts w:ascii="Century" w:eastAsia="Century" w:hAnsi="Century" w:cs="Century"/>
        <w:b/>
        <w:bCs/>
        <w:position w:val="0"/>
        <w:sz w:val="24"/>
        <w:szCs w:val="24"/>
      </w:rPr>
    </w:lvl>
    <w:lvl w:ilvl="8">
      <w:start w:val="1"/>
      <w:numFmt w:val="lowerRoman"/>
      <w:lvlText w:val="%9."/>
      <w:lvlJc w:val="left"/>
      <w:pPr>
        <w:tabs>
          <w:tab w:val="num" w:pos="6840"/>
        </w:tabs>
        <w:ind w:left="6840" w:hanging="296"/>
      </w:pPr>
      <w:rPr>
        <w:rFonts w:ascii="Century" w:eastAsia="Century" w:hAnsi="Century" w:cs="Century"/>
        <w:b/>
        <w:bCs/>
        <w:position w:val="0"/>
        <w:sz w:val="24"/>
        <w:szCs w:val="24"/>
      </w:rPr>
    </w:lvl>
  </w:abstractNum>
  <w:abstractNum w:abstractNumId="16" w15:restartNumberingAfterBreak="0">
    <w:nsid w:val="2CE34645"/>
    <w:multiLevelType w:val="hybridMultilevel"/>
    <w:tmpl w:val="B5DE7F60"/>
    <w:lvl w:ilvl="0" w:tplc="46A8EB0E">
      <w:start w:val="20"/>
      <w:numFmt w:val="decimal"/>
      <w:lvlText w:val="%1."/>
      <w:lvlJc w:val="left"/>
      <w:pPr>
        <w:ind w:left="480" w:hanging="480"/>
      </w:pPr>
      <w:rPr>
        <w:rFonts w:ascii="Times New Roman" w:eastAsia="標楷體" w:hAnsi="Times New Roman" w:cs="Times New Roman" w:hint="default"/>
        <w:b w:val="0"/>
        <w:strike w:val="0"/>
        <w:dstrike w:val="0"/>
        <w:color w:val="auto"/>
        <w:sz w:val="24"/>
        <w:szCs w:val="24"/>
        <w:vertAlign w:val="baseline"/>
      </w:rPr>
    </w:lvl>
    <w:lvl w:ilvl="1" w:tplc="CB168074">
      <w:start w:val="1"/>
      <w:numFmt w:val="decimal"/>
      <w:lvlText w:val="(%2)"/>
      <w:lvlJc w:val="left"/>
      <w:pPr>
        <w:ind w:left="960" w:hanging="480"/>
      </w:pPr>
      <w:rPr>
        <w:rFonts w:ascii="標楷體" w:eastAsia="標楷體" w:hAnsi="標楷體" w:cs="Times New Roman" w:hint="eastAsia"/>
      </w:rPr>
    </w:lvl>
    <w:lvl w:ilvl="2" w:tplc="F09C10AE">
      <w:start w:val="1"/>
      <w:numFmt w:val="decimal"/>
      <w:lvlText w:val="(%3)"/>
      <w:lvlJc w:val="left"/>
      <w:pPr>
        <w:ind w:left="1440" w:hanging="480"/>
      </w:pPr>
      <w:rPr>
        <w:rFonts w:ascii="Times New Roman" w:eastAsia="標楷體"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FD1558"/>
    <w:multiLevelType w:val="multilevel"/>
    <w:tmpl w:val="16F057BC"/>
    <w:lvl w:ilvl="0">
      <w:numFmt w:val="bullet"/>
      <w:lvlText w:val="●"/>
      <w:lvlJc w:val="left"/>
      <w:pPr>
        <w:tabs>
          <w:tab w:val="num" w:pos="1321"/>
        </w:tabs>
        <w:ind w:left="1321" w:hanging="480"/>
      </w:pPr>
      <w:rPr>
        <w:rFonts w:ascii="Times" w:eastAsia="Times" w:hAnsi="Times" w:cs="Times"/>
        <w:b/>
        <w:bCs/>
        <w:position w:val="0"/>
        <w:sz w:val="21"/>
        <w:szCs w:val="21"/>
      </w:rPr>
    </w:lvl>
    <w:lvl w:ilvl="1">
      <w:start w:val="1"/>
      <w:numFmt w:val="bullet"/>
      <w:lvlText w:val="■"/>
      <w:lvlJc w:val="left"/>
      <w:pPr>
        <w:tabs>
          <w:tab w:val="num" w:pos="1801"/>
        </w:tabs>
        <w:ind w:left="1801" w:hanging="480"/>
      </w:pPr>
      <w:rPr>
        <w:rFonts w:ascii="Century" w:eastAsia="Century" w:hAnsi="Century" w:cs="Century"/>
        <w:b/>
        <w:bCs/>
        <w:position w:val="0"/>
        <w:sz w:val="24"/>
        <w:szCs w:val="24"/>
      </w:rPr>
    </w:lvl>
    <w:lvl w:ilvl="2">
      <w:start w:val="1"/>
      <w:numFmt w:val="bullet"/>
      <w:lvlText w:val="◆"/>
      <w:lvlJc w:val="left"/>
      <w:pPr>
        <w:tabs>
          <w:tab w:val="num" w:pos="2281"/>
        </w:tabs>
        <w:ind w:left="2281" w:hanging="480"/>
      </w:pPr>
      <w:rPr>
        <w:rFonts w:ascii="Century" w:eastAsia="Century" w:hAnsi="Century" w:cs="Century"/>
        <w:b/>
        <w:bCs/>
        <w:position w:val="0"/>
        <w:sz w:val="24"/>
        <w:szCs w:val="24"/>
      </w:rPr>
    </w:lvl>
    <w:lvl w:ilvl="3">
      <w:start w:val="1"/>
      <w:numFmt w:val="bullet"/>
      <w:lvlText w:val="●"/>
      <w:lvlJc w:val="left"/>
      <w:pPr>
        <w:tabs>
          <w:tab w:val="num" w:pos="2761"/>
        </w:tabs>
        <w:ind w:left="2761" w:hanging="480"/>
      </w:pPr>
      <w:rPr>
        <w:rFonts w:ascii="Century" w:eastAsia="Century" w:hAnsi="Century" w:cs="Century"/>
        <w:b/>
        <w:bCs/>
        <w:position w:val="0"/>
        <w:sz w:val="24"/>
        <w:szCs w:val="24"/>
      </w:rPr>
    </w:lvl>
    <w:lvl w:ilvl="4">
      <w:start w:val="1"/>
      <w:numFmt w:val="bullet"/>
      <w:lvlText w:val="■"/>
      <w:lvlJc w:val="left"/>
      <w:pPr>
        <w:tabs>
          <w:tab w:val="num" w:pos="3241"/>
        </w:tabs>
        <w:ind w:left="3241" w:hanging="480"/>
      </w:pPr>
      <w:rPr>
        <w:rFonts w:ascii="Century" w:eastAsia="Century" w:hAnsi="Century" w:cs="Century"/>
        <w:b/>
        <w:bCs/>
        <w:position w:val="0"/>
        <w:sz w:val="24"/>
        <w:szCs w:val="24"/>
      </w:rPr>
    </w:lvl>
    <w:lvl w:ilvl="5">
      <w:start w:val="1"/>
      <w:numFmt w:val="bullet"/>
      <w:lvlText w:val="◆"/>
      <w:lvlJc w:val="left"/>
      <w:pPr>
        <w:tabs>
          <w:tab w:val="num" w:pos="3721"/>
        </w:tabs>
        <w:ind w:left="3721" w:hanging="480"/>
      </w:pPr>
      <w:rPr>
        <w:rFonts w:ascii="Century" w:eastAsia="Century" w:hAnsi="Century" w:cs="Century"/>
        <w:b/>
        <w:bCs/>
        <w:position w:val="0"/>
        <w:sz w:val="24"/>
        <w:szCs w:val="24"/>
      </w:rPr>
    </w:lvl>
    <w:lvl w:ilvl="6">
      <w:start w:val="1"/>
      <w:numFmt w:val="bullet"/>
      <w:lvlText w:val="●"/>
      <w:lvlJc w:val="left"/>
      <w:pPr>
        <w:tabs>
          <w:tab w:val="num" w:pos="4201"/>
        </w:tabs>
        <w:ind w:left="4201" w:hanging="480"/>
      </w:pPr>
      <w:rPr>
        <w:rFonts w:ascii="Century" w:eastAsia="Century" w:hAnsi="Century" w:cs="Century"/>
        <w:b/>
        <w:bCs/>
        <w:position w:val="0"/>
        <w:sz w:val="24"/>
        <w:szCs w:val="24"/>
      </w:rPr>
    </w:lvl>
    <w:lvl w:ilvl="7">
      <w:start w:val="1"/>
      <w:numFmt w:val="bullet"/>
      <w:lvlText w:val="■"/>
      <w:lvlJc w:val="left"/>
      <w:pPr>
        <w:tabs>
          <w:tab w:val="num" w:pos="4681"/>
        </w:tabs>
        <w:ind w:left="4681" w:hanging="480"/>
      </w:pPr>
      <w:rPr>
        <w:rFonts w:ascii="Century" w:eastAsia="Century" w:hAnsi="Century" w:cs="Century"/>
        <w:b/>
        <w:bCs/>
        <w:position w:val="0"/>
        <w:sz w:val="24"/>
        <w:szCs w:val="24"/>
      </w:rPr>
    </w:lvl>
    <w:lvl w:ilvl="8">
      <w:start w:val="1"/>
      <w:numFmt w:val="bullet"/>
      <w:lvlText w:val="◆"/>
      <w:lvlJc w:val="left"/>
      <w:pPr>
        <w:tabs>
          <w:tab w:val="num" w:pos="5161"/>
        </w:tabs>
        <w:ind w:left="5161" w:hanging="480"/>
      </w:pPr>
      <w:rPr>
        <w:rFonts w:ascii="Century" w:eastAsia="Century" w:hAnsi="Century" w:cs="Century"/>
        <w:b/>
        <w:bCs/>
        <w:position w:val="0"/>
        <w:sz w:val="24"/>
        <w:szCs w:val="24"/>
      </w:rPr>
    </w:lvl>
  </w:abstractNum>
  <w:abstractNum w:abstractNumId="18" w15:restartNumberingAfterBreak="0">
    <w:nsid w:val="33F50724"/>
    <w:multiLevelType w:val="hybridMultilevel"/>
    <w:tmpl w:val="63D097FC"/>
    <w:lvl w:ilvl="0" w:tplc="A36025F8">
      <w:start w:val="1"/>
      <w:numFmt w:val="decimal"/>
      <w:lvlText w:val="(%1)"/>
      <w:lvlJc w:val="left"/>
      <w:pPr>
        <w:ind w:left="1047" w:hanging="480"/>
      </w:pPr>
      <w:rPr>
        <w:rFonts w:hint="eastAsia"/>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5595D58"/>
    <w:multiLevelType w:val="multilevel"/>
    <w:tmpl w:val="6DB4F3B8"/>
    <w:lvl w:ilvl="0">
      <w:start w:val="1"/>
      <w:numFmt w:val="bullet"/>
      <w:lvlText w:val="˙"/>
      <w:lvlJc w:val="left"/>
      <w:pPr>
        <w:tabs>
          <w:tab w:val="num" w:pos="1321"/>
        </w:tabs>
        <w:ind w:left="1321" w:hanging="480"/>
      </w:pPr>
      <w:rPr>
        <w:rFonts w:ascii="標楷體" w:eastAsia="標楷體" w:hAnsi="標楷體" w:hint="eastAsia"/>
        <w:b/>
        <w:bCs/>
        <w:position w:val="0"/>
        <w:sz w:val="21"/>
        <w:szCs w:val="21"/>
      </w:rPr>
    </w:lvl>
    <w:lvl w:ilvl="1">
      <w:start w:val="1"/>
      <w:numFmt w:val="bullet"/>
      <w:lvlText w:val="■"/>
      <w:lvlJc w:val="left"/>
      <w:pPr>
        <w:tabs>
          <w:tab w:val="num" w:pos="1801"/>
        </w:tabs>
        <w:ind w:left="1801" w:hanging="480"/>
      </w:pPr>
      <w:rPr>
        <w:rFonts w:ascii="Century" w:eastAsia="Century" w:hAnsi="Century" w:cs="Century"/>
        <w:b/>
        <w:bCs/>
        <w:position w:val="0"/>
        <w:sz w:val="24"/>
        <w:szCs w:val="24"/>
      </w:rPr>
    </w:lvl>
    <w:lvl w:ilvl="2">
      <w:start w:val="1"/>
      <w:numFmt w:val="bullet"/>
      <w:lvlText w:val="◆"/>
      <w:lvlJc w:val="left"/>
      <w:pPr>
        <w:tabs>
          <w:tab w:val="num" w:pos="2281"/>
        </w:tabs>
        <w:ind w:left="2281" w:hanging="480"/>
      </w:pPr>
      <w:rPr>
        <w:rFonts w:ascii="Century" w:eastAsia="Century" w:hAnsi="Century" w:cs="Century"/>
        <w:b/>
        <w:bCs/>
        <w:position w:val="0"/>
        <w:sz w:val="24"/>
        <w:szCs w:val="24"/>
      </w:rPr>
    </w:lvl>
    <w:lvl w:ilvl="3">
      <w:start w:val="1"/>
      <w:numFmt w:val="bullet"/>
      <w:lvlText w:val="●"/>
      <w:lvlJc w:val="left"/>
      <w:pPr>
        <w:tabs>
          <w:tab w:val="num" w:pos="2761"/>
        </w:tabs>
        <w:ind w:left="2761" w:hanging="480"/>
      </w:pPr>
      <w:rPr>
        <w:rFonts w:ascii="Century" w:eastAsia="Century" w:hAnsi="Century" w:cs="Century"/>
        <w:b/>
        <w:bCs/>
        <w:position w:val="0"/>
        <w:sz w:val="24"/>
        <w:szCs w:val="24"/>
      </w:rPr>
    </w:lvl>
    <w:lvl w:ilvl="4">
      <w:start w:val="1"/>
      <w:numFmt w:val="bullet"/>
      <w:lvlText w:val="■"/>
      <w:lvlJc w:val="left"/>
      <w:pPr>
        <w:tabs>
          <w:tab w:val="num" w:pos="3241"/>
        </w:tabs>
        <w:ind w:left="3241" w:hanging="480"/>
      </w:pPr>
      <w:rPr>
        <w:rFonts w:ascii="Century" w:eastAsia="Century" w:hAnsi="Century" w:cs="Century"/>
        <w:b/>
        <w:bCs/>
        <w:position w:val="0"/>
        <w:sz w:val="24"/>
        <w:szCs w:val="24"/>
      </w:rPr>
    </w:lvl>
    <w:lvl w:ilvl="5">
      <w:start w:val="1"/>
      <w:numFmt w:val="bullet"/>
      <w:lvlText w:val="◆"/>
      <w:lvlJc w:val="left"/>
      <w:pPr>
        <w:tabs>
          <w:tab w:val="num" w:pos="3721"/>
        </w:tabs>
        <w:ind w:left="3721" w:hanging="480"/>
      </w:pPr>
      <w:rPr>
        <w:rFonts w:ascii="Century" w:eastAsia="Century" w:hAnsi="Century" w:cs="Century"/>
        <w:b/>
        <w:bCs/>
        <w:position w:val="0"/>
        <w:sz w:val="24"/>
        <w:szCs w:val="24"/>
      </w:rPr>
    </w:lvl>
    <w:lvl w:ilvl="6">
      <w:start w:val="1"/>
      <w:numFmt w:val="bullet"/>
      <w:lvlText w:val="●"/>
      <w:lvlJc w:val="left"/>
      <w:pPr>
        <w:tabs>
          <w:tab w:val="num" w:pos="4201"/>
        </w:tabs>
        <w:ind w:left="4201" w:hanging="480"/>
      </w:pPr>
      <w:rPr>
        <w:rFonts w:ascii="Century" w:eastAsia="Century" w:hAnsi="Century" w:cs="Century"/>
        <w:b/>
        <w:bCs/>
        <w:position w:val="0"/>
        <w:sz w:val="24"/>
        <w:szCs w:val="24"/>
      </w:rPr>
    </w:lvl>
    <w:lvl w:ilvl="7">
      <w:start w:val="1"/>
      <w:numFmt w:val="bullet"/>
      <w:lvlText w:val="■"/>
      <w:lvlJc w:val="left"/>
      <w:pPr>
        <w:tabs>
          <w:tab w:val="num" w:pos="4681"/>
        </w:tabs>
        <w:ind w:left="4681" w:hanging="480"/>
      </w:pPr>
      <w:rPr>
        <w:rFonts w:ascii="Century" w:eastAsia="Century" w:hAnsi="Century" w:cs="Century"/>
        <w:b/>
        <w:bCs/>
        <w:position w:val="0"/>
        <w:sz w:val="24"/>
        <w:szCs w:val="24"/>
      </w:rPr>
    </w:lvl>
    <w:lvl w:ilvl="8">
      <w:start w:val="1"/>
      <w:numFmt w:val="bullet"/>
      <w:lvlText w:val="◆"/>
      <w:lvlJc w:val="left"/>
      <w:pPr>
        <w:tabs>
          <w:tab w:val="num" w:pos="5161"/>
        </w:tabs>
        <w:ind w:left="5161" w:hanging="480"/>
      </w:pPr>
      <w:rPr>
        <w:rFonts w:ascii="Century" w:eastAsia="Century" w:hAnsi="Century" w:cs="Century"/>
        <w:b/>
        <w:bCs/>
        <w:position w:val="0"/>
        <w:sz w:val="24"/>
        <w:szCs w:val="24"/>
      </w:rPr>
    </w:lvl>
  </w:abstractNum>
  <w:abstractNum w:abstractNumId="20" w15:restartNumberingAfterBreak="0">
    <w:nsid w:val="3A6452C9"/>
    <w:multiLevelType w:val="hybridMultilevel"/>
    <w:tmpl w:val="62A272C0"/>
    <w:lvl w:ilvl="0" w:tplc="2CC60118">
      <w:start w:val="4"/>
      <w:numFmt w:val="decimal"/>
      <w:lvlText w:val="%1."/>
      <w:lvlJc w:val="left"/>
      <w:pPr>
        <w:ind w:left="1190" w:hanging="480"/>
      </w:pPr>
      <w:rPr>
        <w:rFonts w:ascii="Times New Roman" w:eastAsia="標楷體" w:hAnsi="Times New Roman" w:cs="Times New Roman" w:hint="default"/>
        <w:b w:val="0"/>
        <w:strike w:val="0"/>
        <w:dstrike w:val="0"/>
        <w:color w:val="auto"/>
        <w:sz w:val="24"/>
        <w:szCs w:val="24"/>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3E41087C"/>
    <w:multiLevelType w:val="multilevel"/>
    <w:tmpl w:val="7DDA95DC"/>
    <w:lvl w:ilvl="0">
      <w:numFmt w:val="bullet"/>
      <w:lvlText w:val="●"/>
      <w:lvlJc w:val="left"/>
      <w:pPr>
        <w:tabs>
          <w:tab w:val="num" w:pos="964"/>
        </w:tabs>
        <w:ind w:left="964" w:hanging="480"/>
      </w:pPr>
      <w:rPr>
        <w:rFonts w:ascii="Times" w:eastAsia="Times" w:hAnsi="Times" w:cs="Times"/>
        <w:b/>
        <w:bCs/>
        <w:position w:val="0"/>
        <w:sz w:val="21"/>
        <w:szCs w:val="21"/>
      </w:rPr>
    </w:lvl>
    <w:lvl w:ilvl="1">
      <w:start w:val="1"/>
      <w:numFmt w:val="bullet"/>
      <w:lvlText w:val="■"/>
      <w:lvlJc w:val="left"/>
      <w:pPr>
        <w:tabs>
          <w:tab w:val="num" w:pos="1444"/>
        </w:tabs>
        <w:ind w:left="1444" w:hanging="480"/>
      </w:pPr>
      <w:rPr>
        <w:rFonts w:ascii="Century" w:eastAsia="Century" w:hAnsi="Century" w:cs="Century"/>
        <w:b/>
        <w:bCs/>
        <w:position w:val="0"/>
        <w:sz w:val="24"/>
        <w:szCs w:val="24"/>
      </w:rPr>
    </w:lvl>
    <w:lvl w:ilvl="2">
      <w:start w:val="1"/>
      <w:numFmt w:val="bullet"/>
      <w:lvlText w:val="◆"/>
      <w:lvlJc w:val="left"/>
      <w:pPr>
        <w:tabs>
          <w:tab w:val="num" w:pos="1924"/>
        </w:tabs>
        <w:ind w:left="1924" w:hanging="480"/>
      </w:pPr>
      <w:rPr>
        <w:rFonts w:ascii="Century" w:eastAsia="Century" w:hAnsi="Century" w:cs="Century"/>
        <w:b/>
        <w:bCs/>
        <w:position w:val="0"/>
        <w:sz w:val="24"/>
        <w:szCs w:val="24"/>
      </w:rPr>
    </w:lvl>
    <w:lvl w:ilvl="3">
      <w:start w:val="1"/>
      <w:numFmt w:val="bullet"/>
      <w:lvlText w:val="●"/>
      <w:lvlJc w:val="left"/>
      <w:pPr>
        <w:tabs>
          <w:tab w:val="num" w:pos="2404"/>
        </w:tabs>
        <w:ind w:left="2404" w:hanging="480"/>
      </w:pPr>
      <w:rPr>
        <w:rFonts w:ascii="Century" w:eastAsia="Century" w:hAnsi="Century" w:cs="Century"/>
        <w:b/>
        <w:bCs/>
        <w:position w:val="0"/>
        <w:sz w:val="24"/>
        <w:szCs w:val="24"/>
      </w:rPr>
    </w:lvl>
    <w:lvl w:ilvl="4">
      <w:start w:val="1"/>
      <w:numFmt w:val="bullet"/>
      <w:lvlText w:val="■"/>
      <w:lvlJc w:val="left"/>
      <w:pPr>
        <w:tabs>
          <w:tab w:val="num" w:pos="2884"/>
        </w:tabs>
        <w:ind w:left="2884" w:hanging="480"/>
      </w:pPr>
      <w:rPr>
        <w:rFonts w:ascii="Century" w:eastAsia="Century" w:hAnsi="Century" w:cs="Century"/>
        <w:b/>
        <w:bCs/>
        <w:position w:val="0"/>
        <w:sz w:val="24"/>
        <w:szCs w:val="24"/>
      </w:rPr>
    </w:lvl>
    <w:lvl w:ilvl="5">
      <w:start w:val="1"/>
      <w:numFmt w:val="bullet"/>
      <w:lvlText w:val="◆"/>
      <w:lvlJc w:val="left"/>
      <w:pPr>
        <w:tabs>
          <w:tab w:val="num" w:pos="3364"/>
        </w:tabs>
        <w:ind w:left="3364" w:hanging="480"/>
      </w:pPr>
      <w:rPr>
        <w:rFonts w:ascii="Century" w:eastAsia="Century" w:hAnsi="Century" w:cs="Century"/>
        <w:b/>
        <w:bCs/>
        <w:position w:val="0"/>
        <w:sz w:val="24"/>
        <w:szCs w:val="24"/>
      </w:rPr>
    </w:lvl>
    <w:lvl w:ilvl="6">
      <w:start w:val="1"/>
      <w:numFmt w:val="bullet"/>
      <w:lvlText w:val="●"/>
      <w:lvlJc w:val="left"/>
      <w:pPr>
        <w:tabs>
          <w:tab w:val="num" w:pos="3844"/>
        </w:tabs>
        <w:ind w:left="3844" w:hanging="480"/>
      </w:pPr>
      <w:rPr>
        <w:rFonts w:ascii="Century" w:eastAsia="Century" w:hAnsi="Century" w:cs="Century"/>
        <w:b/>
        <w:bCs/>
        <w:position w:val="0"/>
        <w:sz w:val="24"/>
        <w:szCs w:val="24"/>
      </w:rPr>
    </w:lvl>
    <w:lvl w:ilvl="7">
      <w:start w:val="1"/>
      <w:numFmt w:val="bullet"/>
      <w:lvlText w:val="■"/>
      <w:lvlJc w:val="left"/>
      <w:pPr>
        <w:tabs>
          <w:tab w:val="num" w:pos="4324"/>
        </w:tabs>
        <w:ind w:left="4324" w:hanging="480"/>
      </w:pPr>
      <w:rPr>
        <w:rFonts w:ascii="Century" w:eastAsia="Century" w:hAnsi="Century" w:cs="Century"/>
        <w:b/>
        <w:bCs/>
        <w:position w:val="0"/>
        <w:sz w:val="24"/>
        <w:szCs w:val="24"/>
      </w:rPr>
    </w:lvl>
    <w:lvl w:ilvl="8">
      <w:start w:val="1"/>
      <w:numFmt w:val="bullet"/>
      <w:lvlText w:val="◆"/>
      <w:lvlJc w:val="left"/>
      <w:pPr>
        <w:tabs>
          <w:tab w:val="num" w:pos="4804"/>
        </w:tabs>
        <w:ind w:left="4804" w:hanging="480"/>
      </w:pPr>
      <w:rPr>
        <w:rFonts w:ascii="Century" w:eastAsia="Century" w:hAnsi="Century" w:cs="Century"/>
        <w:b/>
        <w:bCs/>
        <w:position w:val="0"/>
        <w:sz w:val="24"/>
        <w:szCs w:val="24"/>
      </w:rPr>
    </w:lvl>
  </w:abstractNum>
  <w:abstractNum w:abstractNumId="22" w15:restartNumberingAfterBreak="0">
    <w:nsid w:val="40BB0EC9"/>
    <w:multiLevelType w:val="multilevel"/>
    <w:tmpl w:val="DCF0622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43734D6C"/>
    <w:multiLevelType w:val="hybridMultilevel"/>
    <w:tmpl w:val="FF84FA92"/>
    <w:lvl w:ilvl="0" w:tplc="A36025F8">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39C6FC2"/>
    <w:multiLevelType w:val="hybridMultilevel"/>
    <w:tmpl w:val="7F3216B6"/>
    <w:lvl w:ilvl="0" w:tplc="A36025F8">
      <w:start w:val="1"/>
      <w:numFmt w:val="decimal"/>
      <w:lvlText w:val="(%1)"/>
      <w:lvlJc w:val="left"/>
      <w:pPr>
        <w:ind w:left="1047" w:hanging="480"/>
      </w:pPr>
      <w:rPr>
        <w:rFonts w:hint="eastAsia"/>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458F3504"/>
    <w:multiLevelType w:val="hybridMultilevel"/>
    <w:tmpl w:val="8496EC78"/>
    <w:lvl w:ilvl="0" w:tplc="C25A69CC">
      <w:start w:val="1"/>
      <w:numFmt w:val="decimal"/>
      <w:lvlText w:val="%1."/>
      <w:lvlJc w:val="left"/>
      <w:pPr>
        <w:ind w:left="480" w:hanging="480"/>
      </w:pPr>
      <w:rPr>
        <w:rFonts w:ascii="Times New Roman" w:hAnsi="Times New Roman" w:cs="Times New Roman" w:hint="default"/>
        <w:strike w:val="0"/>
      </w:rPr>
    </w:lvl>
    <w:lvl w:ilvl="1" w:tplc="4DF8BC2A">
      <w:start w:val="1"/>
      <w:numFmt w:val="upperLetter"/>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E224F6"/>
    <w:multiLevelType w:val="hybridMultilevel"/>
    <w:tmpl w:val="70A6329E"/>
    <w:lvl w:ilvl="0" w:tplc="04090015">
      <w:start w:val="1"/>
      <w:numFmt w:val="upperLetter"/>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067C0D"/>
    <w:multiLevelType w:val="hybridMultilevel"/>
    <w:tmpl w:val="FADEC1D4"/>
    <w:lvl w:ilvl="0" w:tplc="04090015">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5678E2"/>
    <w:multiLevelType w:val="multilevel"/>
    <w:tmpl w:val="9C223B66"/>
    <w:styleLink w:val="WWNum4"/>
    <w:lvl w:ilvl="0">
      <w:start w:val="1"/>
      <w:numFmt w:val="decimal"/>
      <w:lvlText w:val="%1."/>
      <w:lvlJc w:val="left"/>
      <w:rPr>
        <w:b w:val="0"/>
        <w:bCs w:val="0"/>
        <w:strike w:val="0"/>
        <w:dstrike w:val="0"/>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15:restartNumberingAfterBreak="0">
    <w:nsid w:val="56AB1F56"/>
    <w:multiLevelType w:val="multilevel"/>
    <w:tmpl w:val="C96A6434"/>
    <w:styleLink w:val="WW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8352985"/>
    <w:multiLevelType w:val="multilevel"/>
    <w:tmpl w:val="3752D28C"/>
    <w:lvl w:ilvl="0">
      <w:numFmt w:val="bullet"/>
      <w:lvlText w:val="●"/>
      <w:lvlJc w:val="left"/>
      <w:pPr>
        <w:tabs>
          <w:tab w:val="num" w:pos="964"/>
        </w:tabs>
        <w:ind w:left="964" w:hanging="480"/>
      </w:pPr>
      <w:rPr>
        <w:rFonts w:ascii="Times" w:eastAsia="Times" w:hAnsi="Times" w:cs="Times"/>
        <w:b/>
        <w:bCs/>
        <w:position w:val="0"/>
        <w:sz w:val="21"/>
        <w:szCs w:val="21"/>
      </w:rPr>
    </w:lvl>
    <w:lvl w:ilvl="1">
      <w:start w:val="1"/>
      <w:numFmt w:val="bullet"/>
      <w:lvlText w:val="■"/>
      <w:lvlJc w:val="left"/>
      <w:pPr>
        <w:tabs>
          <w:tab w:val="num" w:pos="1444"/>
        </w:tabs>
        <w:ind w:left="1444" w:hanging="480"/>
      </w:pPr>
      <w:rPr>
        <w:rFonts w:ascii="Century" w:eastAsia="Century" w:hAnsi="Century" w:cs="Century"/>
        <w:b/>
        <w:bCs/>
        <w:position w:val="0"/>
        <w:sz w:val="24"/>
        <w:szCs w:val="24"/>
      </w:rPr>
    </w:lvl>
    <w:lvl w:ilvl="2">
      <w:start w:val="1"/>
      <w:numFmt w:val="bullet"/>
      <w:lvlText w:val="◆"/>
      <w:lvlJc w:val="left"/>
      <w:pPr>
        <w:tabs>
          <w:tab w:val="num" w:pos="1924"/>
        </w:tabs>
        <w:ind w:left="1924" w:hanging="480"/>
      </w:pPr>
      <w:rPr>
        <w:rFonts w:ascii="Century" w:eastAsia="Century" w:hAnsi="Century" w:cs="Century"/>
        <w:b/>
        <w:bCs/>
        <w:position w:val="0"/>
        <w:sz w:val="24"/>
        <w:szCs w:val="24"/>
      </w:rPr>
    </w:lvl>
    <w:lvl w:ilvl="3">
      <w:start w:val="1"/>
      <w:numFmt w:val="bullet"/>
      <w:lvlText w:val="●"/>
      <w:lvlJc w:val="left"/>
      <w:pPr>
        <w:tabs>
          <w:tab w:val="num" w:pos="2404"/>
        </w:tabs>
        <w:ind w:left="2404" w:hanging="480"/>
      </w:pPr>
      <w:rPr>
        <w:rFonts w:ascii="Century" w:eastAsia="Century" w:hAnsi="Century" w:cs="Century"/>
        <w:b/>
        <w:bCs/>
        <w:position w:val="0"/>
        <w:sz w:val="24"/>
        <w:szCs w:val="24"/>
      </w:rPr>
    </w:lvl>
    <w:lvl w:ilvl="4">
      <w:start w:val="1"/>
      <w:numFmt w:val="bullet"/>
      <w:lvlText w:val="■"/>
      <w:lvlJc w:val="left"/>
      <w:pPr>
        <w:tabs>
          <w:tab w:val="num" w:pos="2884"/>
        </w:tabs>
        <w:ind w:left="2884" w:hanging="480"/>
      </w:pPr>
      <w:rPr>
        <w:rFonts w:ascii="Century" w:eastAsia="Century" w:hAnsi="Century" w:cs="Century"/>
        <w:b/>
        <w:bCs/>
        <w:position w:val="0"/>
        <w:sz w:val="24"/>
        <w:szCs w:val="24"/>
      </w:rPr>
    </w:lvl>
    <w:lvl w:ilvl="5">
      <w:start w:val="1"/>
      <w:numFmt w:val="bullet"/>
      <w:lvlText w:val="◆"/>
      <w:lvlJc w:val="left"/>
      <w:pPr>
        <w:tabs>
          <w:tab w:val="num" w:pos="3364"/>
        </w:tabs>
        <w:ind w:left="3364" w:hanging="480"/>
      </w:pPr>
      <w:rPr>
        <w:rFonts w:ascii="Century" w:eastAsia="Century" w:hAnsi="Century" w:cs="Century"/>
        <w:b/>
        <w:bCs/>
        <w:position w:val="0"/>
        <w:sz w:val="24"/>
        <w:szCs w:val="24"/>
      </w:rPr>
    </w:lvl>
    <w:lvl w:ilvl="6">
      <w:start w:val="1"/>
      <w:numFmt w:val="bullet"/>
      <w:lvlText w:val="●"/>
      <w:lvlJc w:val="left"/>
      <w:pPr>
        <w:tabs>
          <w:tab w:val="num" w:pos="3844"/>
        </w:tabs>
        <w:ind w:left="3844" w:hanging="480"/>
      </w:pPr>
      <w:rPr>
        <w:rFonts w:ascii="Century" w:eastAsia="Century" w:hAnsi="Century" w:cs="Century"/>
        <w:b/>
        <w:bCs/>
        <w:position w:val="0"/>
        <w:sz w:val="24"/>
        <w:szCs w:val="24"/>
      </w:rPr>
    </w:lvl>
    <w:lvl w:ilvl="7">
      <w:start w:val="1"/>
      <w:numFmt w:val="bullet"/>
      <w:lvlText w:val="■"/>
      <w:lvlJc w:val="left"/>
      <w:pPr>
        <w:tabs>
          <w:tab w:val="num" w:pos="4324"/>
        </w:tabs>
        <w:ind w:left="4324" w:hanging="480"/>
      </w:pPr>
      <w:rPr>
        <w:rFonts w:ascii="Century" w:eastAsia="Century" w:hAnsi="Century" w:cs="Century"/>
        <w:b/>
        <w:bCs/>
        <w:position w:val="0"/>
        <w:sz w:val="24"/>
        <w:szCs w:val="24"/>
      </w:rPr>
    </w:lvl>
    <w:lvl w:ilvl="8">
      <w:start w:val="1"/>
      <w:numFmt w:val="bullet"/>
      <w:lvlText w:val="◆"/>
      <w:lvlJc w:val="left"/>
      <w:pPr>
        <w:tabs>
          <w:tab w:val="num" w:pos="4804"/>
        </w:tabs>
        <w:ind w:left="4804" w:hanging="480"/>
      </w:pPr>
      <w:rPr>
        <w:rFonts w:ascii="Century" w:eastAsia="Century" w:hAnsi="Century" w:cs="Century"/>
        <w:b/>
        <w:bCs/>
        <w:position w:val="0"/>
        <w:sz w:val="24"/>
        <w:szCs w:val="24"/>
      </w:rPr>
    </w:lvl>
  </w:abstractNum>
  <w:abstractNum w:abstractNumId="31" w15:restartNumberingAfterBreak="0">
    <w:nsid w:val="60C52441"/>
    <w:multiLevelType w:val="hybridMultilevel"/>
    <w:tmpl w:val="48902734"/>
    <w:lvl w:ilvl="0" w:tplc="3926D7B4">
      <w:start w:val="1"/>
      <w:numFmt w:val="upperLetter"/>
      <w:lvlText w:val="%1."/>
      <w:lvlJc w:val="left"/>
      <w:pPr>
        <w:ind w:left="480" w:hanging="480"/>
      </w:pPr>
      <w:rPr>
        <w:b w:val="0"/>
        <w:bCs/>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E74BCB"/>
    <w:multiLevelType w:val="multilevel"/>
    <w:tmpl w:val="AE9E5FA8"/>
    <w:styleLink w:val="List1"/>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3" w15:restartNumberingAfterBreak="0">
    <w:nsid w:val="61EE3C1C"/>
    <w:multiLevelType w:val="hybridMultilevel"/>
    <w:tmpl w:val="65D617FA"/>
    <w:lvl w:ilvl="0" w:tplc="C64AAD9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2E36524"/>
    <w:multiLevelType w:val="multilevel"/>
    <w:tmpl w:val="7B26C87A"/>
    <w:styleLink w:val="List17"/>
    <w:lvl w:ilvl="0">
      <w:start w:val="1"/>
      <w:numFmt w:val="bullet"/>
      <w:lvlText w:val="˙"/>
      <w:lvlJc w:val="left"/>
      <w:pPr>
        <w:tabs>
          <w:tab w:val="num" w:pos="964"/>
        </w:tabs>
        <w:ind w:left="964" w:hanging="480"/>
      </w:pPr>
      <w:rPr>
        <w:rFonts w:ascii="標楷體" w:eastAsia="標楷體" w:hAnsi="標楷體" w:hint="eastAsia"/>
        <w:b/>
        <w:bCs/>
        <w:position w:val="0"/>
        <w:sz w:val="21"/>
        <w:szCs w:val="21"/>
      </w:rPr>
    </w:lvl>
    <w:lvl w:ilvl="1">
      <w:start w:val="1"/>
      <w:numFmt w:val="bullet"/>
      <w:lvlText w:val="■"/>
      <w:lvlJc w:val="left"/>
      <w:pPr>
        <w:tabs>
          <w:tab w:val="num" w:pos="1444"/>
        </w:tabs>
        <w:ind w:left="1444" w:hanging="480"/>
      </w:pPr>
      <w:rPr>
        <w:rFonts w:ascii="Century" w:eastAsia="Century" w:hAnsi="Century" w:cs="Century"/>
        <w:b/>
        <w:bCs/>
        <w:position w:val="0"/>
        <w:sz w:val="24"/>
        <w:szCs w:val="24"/>
      </w:rPr>
    </w:lvl>
    <w:lvl w:ilvl="2">
      <w:start w:val="1"/>
      <w:numFmt w:val="bullet"/>
      <w:lvlText w:val="◆"/>
      <w:lvlJc w:val="left"/>
      <w:pPr>
        <w:tabs>
          <w:tab w:val="num" w:pos="1924"/>
        </w:tabs>
        <w:ind w:left="1924" w:hanging="480"/>
      </w:pPr>
      <w:rPr>
        <w:rFonts w:ascii="Century" w:eastAsia="Century" w:hAnsi="Century" w:cs="Century"/>
        <w:b/>
        <w:bCs/>
        <w:position w:val="0"/>
        <w:sz w:val="24"/>
        <w:szCs w:val="24"/>
      </w:rPr>
    </w:lvl>
    <w:lvl w:ilvl="3">
      <w:start w:val="1"/>
      <w:numFmt w:val="bullet"/>
      <w:lvlText w:val="●"/>
      <w:lvlJc w:val="left"/>
      <w:pPr>
        <w:tabs>
          <w:tab w:val="num" w:pos="2404"/>
        </w:tabs>
        <w:ind w:left="2404" w:hanging="480"/>
      </w:pPr>
      <w:rPr>
        <w:rFonts w:ascii="Century" w:eastAsia="Century" w:hAnsi="Century" w:cs="Century"/>
        <w:b/>
        <w:bCs/>
        <w:position w:val="0"/>
        <w:sz w:val="24"/>
        <w:szCs w:val="24"/>
      </w:rPr>
    </w:lvl>
    <w:lvl w:ilvl="4">
      <w:start w:val="1"/>
      <w:numFmt w:val="bullet"/>
      <w:lvlText w:val="■"/>
      <w:lvlJc w:val="left"/>
      <w:pPr>
        <w:tabs>
          <w:tab w:val="num" w:pos="2884"/>
        </w:tabs>
        <w:ind w:left="2884" w:hanging="480"/>
      </w:pPr>
      <w:rPr>
        <w:rFonts w:ascii="Century" w:eastAsia="Century" w:hAnsi="Century" w:cs="Century"/>
        <w:b/>
        <w:bCs/>
        <w:position w:val="0"/>
        <w:sz w:val="24"/>
        <w:szCs w:val="24"/>
      </w:rPr>
    </w:lvl>
    <w:lvl w:ilvl="5">
      <w:start w:val="1"/>
      <w:numFmt w:val="bullet"/>
      <w:lvlText w:val="◆"/>
      <w:lvlJc w:val="left"/>
      <w:pPr>
        <w:tabs>
          <w:tab w:val="num" w:pos="3364"/>
        </w:tabs>
        <w:ind w:left="3364" w:hanging="480"/>
      </w:pPr>
      <w:rPr>
        <w:rFonts w:ascii="Century" w:eastAsia="Century" w:hAnsi="Century" w:cs="Century"/>
        <w:b/>
        <w:bCs/>
        <w:position w:val="0"/>
        <w:sz w:val="24"/>
        <w:szCs w:val="24"/>
      </w:rPr>
    </w:lvl>
    <w:lvl w:ilvl="6">
      <w:start w:val="1"/>
      <w:numFmt w:val="bullet"/>
      <w:lvlText w:val="●"/>
      <w:lvlJc w:val="left"/>
      <w:pPr>
        <w:tabs>
          <w:tab w:val="num" w:pos="3844"/>
        </w:tabs>
        <w:ind w:left="3844" w:hanging="480"/>
      </w:pPr>
      <w:rPr>
        <w:rFonts w:ascii="Century" w:eastAsia="Century" w:hAnsi="Century" w:cs="Century"/>
        <w:b/>
        <w:bCs/>
        <w:position w:val="0"/>
        <w:sz w:val="24"/>
        <w:szCs w:val="24"/>
      </w:rPr>
    </w:lvl>
    <w:lvl w:ilvl="7">
      <w:start w:val="1"/>
      <w:numFmt w:val="bullet"/>
      <w:lvlText w:val="■"/>
      <w:lvlJc w:val="left"/>
      <w:pPr>
        <w:tabs>
          <w:tab w:val="num" w:pos="4324"/>
        </w:tabs>
        <w:ind w:left="4324" w:hanging="480"/>
      </w:pPr>
      <w:rPr>
        <w:rFonts w:ascii="Century" w:eastAsia="Century" w:hAnsi="Century" w:cs="Century"/>
        <w:b/>
        <w:bCs/>
        <w:position w:val="0"/>
        <w:sz w:val="24"/>
        <w:szCs w:val="24"/>
      </w:rPr>
    </w:lvl>
    <w:lvl w:ilvl="8">
      <w:start w:val="1"/>
      <w:numFmt w:val="bullet"/>
      <w:lvlText w:val="◆"/>
      <w:lvlJc w:val="left"/>
      <w:pPr>
        <w:tabs>
          <w:tab w:val="num" w:pos="4804"/>
        </w:tabs>
        <w:ind w:left="4804" w:hanging="480"/>
      </w:pPr>
      <w:rPr>
        <w:rFonts w:ascii="Century" w:eastAsia="Century" w:hAnsi="Century" w:cs="Century"/>
        <w:b/>
        <w:bCs/>
        <w:position w:val="0"/>
        <w:sz w:val="24"/>
        <w:szCs w:val="24"/>
      </w:rPr>
    </w:lvl>
  </w:abstractNum>
  <w:abstractNum w:abstractNumId="35" w15:restartNumberingAfterBreak="0">
    <w:nsid w:val="645E267D"/>
    <w:multiLevelType w:val="hybridMultilevel"/>
    <w:tmpl w:val="FA02E9A4"/>
    <w:lvl w:ilvl="0" w:tplc="D07A66FA">
      <w:start w:val="1"/>
      <w:numFmt w:val="decimal"/>
      <w:lvlText w:val="(%1)"/>
      <w:lvlJc w:val="left"/>
      <w:pPr>
        <w:ind w:left="1047" w:hanging="480"/>
      </w:pPr>
      <w:rPr>
        <w:rFonts w:ascii="Times New Roman" w:eastAsia="標楷體"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15:restartNumberingAfterBreak="0">
    <w:nsid w:val="64A31023"/>
    <w:multiLevelType w:val="hybridMultilevel"/>
    <w:tmpl w:val="11EAC348"/>
    <w:lvl w:ilvl="0" w:tplc="552A8C16">
      <w:start w:val="1"/>
      <w:numFmt w:val="decimal"/>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EC6E13"/>
    <w:multiLevelType w:val="hybridMultilevel"/>
    <w:tmpl w:val="0B96D638"/>
    <w:lvl w:ilvl="0" w:tplc="04090015">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B3206D"/>
    <w:multiLevelType w:val="hybridMultilevel"/>
    <w:tmpl w:val="DE4832C2"/>
    <w:lvl w:ilvl="0" w:tplc="04090015">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E2263C"/>
    <w:multiLevelType w:val="hybridMultilevel"/>
    <w:tmpl w:val="DBB42BD0"/>
    <w:lvl w:ilvl="0" w:tplc="04090015">
      <w:start w:val="1"/>
      <w:numFmt w:val="upperLetter"/>
      <w:lvlText w:val="%1."/>
      <w:lvlJc w:val="left"/>
      <w:pPr>
        <w:ind w:left="48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E43A7B"/>
    <w:multiLevelType w:val="hybridMultilevel"/>
    <w:tmpl w:val="5DB8E4D4"/>
    <w:lvl w:ilvl="0" w:tplc="A36025F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F96183"/>
    <w:multiLevelType w:val="hybridMultilevel"/>
    <w:tmpl w:val="FB9C4C92"/>
    <w:lvl w:ilvl="0" w:tplc="059A62C4">
      <w:start w:val="1"/>
      <w:numFmt w:val="decimal"/>
      <w:lvlText w:val="(%1)"/>
      <w:lvlJc w:val="left"/>
      <w:pPr>
        <w:ind w:left="1047" w:hanging="480"/>
      </w:pPr>
      <w:rPr>
        <w:rFonts w:ascii="Times New Roman" w:eastAsia="標楷體"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15:restartNumberingAfterBreak="0">
    <w:nsid w:val="7144075A"/>
    <w:multiLevelType w:val="hybridMultilevel"/>
    <w:tmpl w:val="7318043A"/>
    <w:lvl w:ilvl="0" w:tplc="CB168074">
      <w:start w:val="1"/>
      <w:numFmt w:val="decimal"/>
      <w:lvlText w:val="(%1)"/>
      <w:lvlJc w:val="left"/>
      <w:pPr>
        <w:ind w:left="764" w:hanging="480"/>
      </w:pPr>
      <w:rPr>
        <w:rFonts w:ascii="標楷體" w:eastAsia="標楷體" w:hAnsi="標楷體" w:cs="Times New Roman"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3" w15:restartNumberingAfterBreak="0">
    <w:nsid w:val="79783841"/>
    <w:multiLevelType w:val="hybridMultilevel"/>
    <w:tmpl w:val="53A45394"/>
    <w:lvl w:ilvl="0" w:tplc="ED4AE95C">
      <w:start w:val="1"/>
      <w:numFmt w:val="decimal"/>
      <w:lvlText w:val="(%1)"/>
      <w:lvlJc w:val="left"/>
      <w:pPr>
        <w:ind w:left="605" w:hanging="480"/>
      </w:pPr>
      <w:rPr>
        <w:rFonts w:hint="eastAsia"/>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num w:numId="1">
    <w:abstractNumId w:val="9"/>
  </w:num>
  <w:num w:numId="2">
    <w:abstractNumId w:val="31"/>
  </w:num>
  <w:num w:numId="3">
    <w:abstractNumId w:val="29"/>
  </w:num>
  <w:num w:numId="4">
    <w:abstractNumId w:val="22"/>
  </w:num>
  <w:num w:numId="5">
    <w:abstractNumId w:val="39"/>
  </w:num>
  <w:num w:numId="6">
    <w:abstractNumId w:val="38"/>
  </w:num>
  <w:num w:numId="7">
    <w:abstractNumId w:val="26"/>
  </w:num>
  <w:num w:numId="8">
    <w:abstractNumId w:val="16"/>
  </w:num>
  <w:num w:numId="9">
    <w:abstractNumId w:val="0"/>
  </w:num>
  <w:num w:numId="10">
    <w:abstractNumId w:val="13"/>
  </w:num>
  <w:num w:numId="11">
    <w:abstractNumId w:val="11"/>
  </w:num>
  <w:num w:numId="12">
    <w:abstractNumId w:val="37"/>
  </w:num>
  <w:num w:numId="13">
    <w:abstractNumId w:val="43"/>
  </w:num>
  <w:num w:numId="14">
    <w:abstractNumId w:val="4"/>
  </w:num>
  <w:num w:numId="15">
    <w:abstractNumId w:val="7"/>
  </w:num>
  <w:num w:numId="16">
    <w:abstractNumId w:val="27"/>
  </w:num>
  <w:num w:numId="17">
    <w:abstractNumId w:val="8"/>
  </w:num>
  <w:num w:numId="18">
    <w:abstractNumId w:val="28"/>
  </w:num>
  <w:num w:numId="19">
    <w:abstractNumId w:val="35"/>
  </w:num>
  <w:num w:numId="20">
    <w:abstractNumId w:val="3"/>
  </w:num>
  <w:num w:numId="21">
    <w:abstractNumId w:val="42"/>
  </w:num>
  <w:num w:numId="22">
    <w:abstractNumId w:val="40"/>
  </w:num>
  <w:num w:numId="23">
    <w:abstractNumId w:val="24"/>
  </w:num>
  <w:num w:numId="24">
    <w:abstractNumId w:val="18"/>
  </w:num>
  <w:num w:numId="25">
    <w:abstractNumId w:val="36"/>
  </w:num>
  <w:num w:numId="26">
    <w:abstractNumId w:val="41"/>
  </w:num>
  <w:num w:numId="27">
    <w:abstractNumId w:val="6"/>
  </w:num>
  <w:num w:numId="28">
    <w:abstractNumId w:val="10"/>
  </w:num>
  <w:num w:numId="29">
    <w:abstractNumId w:val="5"/>
  </w:num>
  <w:num w:numId="30">
    <w:abstractNumId w:val="14"/>
  </w:num>
  <w:num w:numId="31">
    <w:abstractNumId w:val="23"/>
  </w:num>
  <w:num w:numId="32">
    <w:abstractNumId w:val="32"/>
    <w:lvlOverride w:ilvl="0">
      <w:lvl w:ilvl="0">
        <w:start w:val="1"/>
        <w:numFmt w:val="decimal"/>
        <w:lvlText w:val="%1."/>
        <w:lvlJc w:val="left"/>
        <w:pPr>
          <w:tabs>
            <w:tab w:val="num" w:pos="720"/>
          </w:tabs>
          <w:ind w:left="720" w:hanging="360"/>
        </w:pPr>
        <w:rPr>
          <w:position w:val="0"/>
          <w:sz w:val="24"/>
          <w:szCs w:val="24"/>
          <w:rtl w:val="0"/>
        </w:rPr>
      </w:lvl>
    </w:lvlOverride>
  </w:num>
  <w:num w:numId="33">
    <w:abstractNumId w:val="32"/>
  </w:num>
  <w:num w:numId="34">
    <w:abstractNumId w:val="15"/>
  </w:num>
  <w:num w:numId="35">
    <w:abstractNumId w:val="1"/>
  </w:num>
  <w:num w:numId="36">
    <w:abstractNumId w:val="12"/>
  </w:num>
  <w:num w:numId="37">
    <w:abstractNumId w:val="21"/>
  </w:num>
  <w:num w:numId="38">
    <w:abstractNumId w:val="30"/>
  </w:num>
  <w:num w:numId="39">
    <w:abstractNumId w:val="34"/>
  </w:num>
  <w:num w:numId="40">
    <w:abstractNumId w:val="33"/>
  </w:num>
  <w:num w:numId="41">
    <w:abstractNumId w:val="19"/>
  </w:num>
  <w:num w:numId="42">
    <w:abstractNumId w:val="17"/>
  </w:num>
  <w:num w:numId="4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72"/>
    <w:rsid w:val="0000040A"/>
    <w:rsid w:val="00000B61"/>
    <w:rsid w:val="00000C3F"/>
    <w:rsid w:val="00000F4A"/>
    <w:rsid w:val="0000129D"/>
    <w:rsid w:val="00001AEB"/>
    <w:rsid w:val="00001B02"/>
    <w:rsid w:val="000021E3"/>
    <w:rsid w:val="00003355"/>
    <w:rsid w:val="000040DF"/>
    <w:rsid w:val="00004143"/>
    <w:rsid w:val="00004213"/>
    <w:rsid w:val="000057BD"/>
    <w:rsid w:val="000065BB"/>
    <w:rsid w:val="00007A6E"/>
    <w:rsid w:val="00007B50"/>
    <w:rsid w:val="000111B3"/>
    <w:rsid w:val="000121DC"/>
    <w:rsid w:val="00012228"/>
    <w:rsid w:val="000122D4"/>
    <w:rsid w:val="0001237D"/>
    <w:rsid w:val="000127DB"/>
    <w:rsid w:val="00013246"/>
    <w:rsid w:val="000137AF"/>
    <w:rsid w:val="00013B99"/>
    <w:rsid w:val="00013E02"/>
    <w:rsid w:val="0001409F"/>
    <w:rsid w:val="0001445B"/>
    <w:rsid w:val="000150D2"/>
    <w:rsid w:val="0001550D"/>
    <w:rsid w:val="00015C1E"/>
    <w:rsid w:val="00016204"/>
    <w:rsid w:val="00016291"/>
    <w:rsid w:val="00016391"/>
    <w:rsid w:val="0001641B"/>
    <w:rsid w:val="00016902"/>
    <w:rsid w:val="00017AE7"/>
    <w:rsid w:val="00020490"/>
    <w:rsid w:val="000204D7"/>
    <w:rsid w:val="0002058C"/>
    <w:rsid w:val="00021533"/>
    <w:rsid w:val="00021935"/>
    <w:rsid w:val="000232C4"/>
    <w:rsid w:val="00023BF3"/>
    <w:rsid w:val="00024135"/>
    <w:rsid w:val="000257C6"/>
    <w:rsid w:val="00025FCD"/>
    <w:rsid w:val="00030764"/>
    <w:rsid w:val="000308DB"/>
    <w:rsid w:val="00031123"/>
    <w:rsid w:val="0003242A"/>
    <w:rsid w:val="00032CC2"/>
    <w:rsid w:val="00032CCC"/>
    <w:rsid w:val="000334E3"/>
    <w:rsid w:val="000337CE"/>
    <w:rsid w:val="00033C1D"/>
    <w:rsid w:val="00034669"/>
    <w:rsid w:val="00034859"/>
    <w:rsid w:val="0003599C"/>
    <w:rsid w:val="00035BFF"/>
    <w:rsid w:val="00035F24"/>
    <w:rsid w:val="000361C0"/>
    <w:rsid w:val="000363D7"/>
    <w:rsid w:val="00036508"/>
    <w:rsid w:val="000365DE"/>
    <w:rsid w:val="00036C6D"/>
    <w:rsid w:val="00040EF7"/>
    <w:rsid w:val="00040F08"/>
    <w:rsid w:val="00041043"/>
    <w:rsid w:val="00041875"/>
    <w:rsid w:val="000428CD"/>
    <w:rsid w:val="000436A2"/>
    <w:rsid w:val="00043875"/>
    <w:rsid w:val="0004486C"/>
    <w:rsid w:val="000462ED"/>
    <w:rsid w:val="0004734E"/>
    <w:rsid w:val="00047781"/>
    <w:rsid w:val="00047C87"/>
    <w:rsid w:val="000503DA"/>
    <w:rsid w:val="000509FC"/>
    <w:rsid w:val="00050D24"/>
    <w:rsid w:val="00050D36"/>
    <w:rsid w:val="00051848"/>
    <w:rsid w:val="00052705"/>
    <w:rsid w:val="00052B1A"/>
    <w:rsid w:val="000531B0"/>
    <w:rsid w:val="00053C72"/>
    <w:rsid w:val="00054387"/>
    <w:rsid w:val="000552E5"/>
    <w:rsid w:val="000553FA"/>
    <w:rsid w:val="00060E65"/>
    <w:rsid w:val="0006152C"/>
    <w:rsid w:val="00061618"/>
    <w:rsid w:val="00062219"/>
    <w:rsid w:val="00062B04"/>
    <w:rsid w:val="00063A91"/>
    <w:rsid w:val="000641D4"/>
    <w:rsid w:val="00064242"/>
    <w:rsid w:val="00065A03"/>
    <w:rsid w:val="00066707"/>
    <w:rsid w:val="00066B08"/>
    <w:rsid w:val="0007021F"/>
    <w:rsid w:val="0007026C"/>
    <w:rsid w:val="00070582"/>
    <w:rsid w:val="000705C6"/>
    <w:rsid w:val="00070CC4"/>
    <w:rsid w:val="00070E6F"/>
    <w:rsid w:val="00071047"/>
    <w:rsid w:val="000710AE"/>
    <w:rsid w:val="00071A7F"/>
    <w:rsid w:val="00071F95"/>
    <w:rsid w:val="00072BCA"/>
    <w:rsid w:val="00073181"/>
    <w:rsid w:val="0007370E"/>
    <w:rsid w:val="000747E8"/>
    <w:rsid w:val="00074CD1"/>
    <w:rsid w:val="0007796D"/>
    <w:rsid w:val="00077C6A"/>
    <w:rsid w:val="00077C6C"/>
    <w:rsid w:val="000803AC"/>
    <w:rsid w:val="00080461"/>
    <w:rsid w:val="00081AC6"/>
    <w:rsid w:val="00081E6B"/>
    <w:rsid w:val="0008321D"/>
    <w:rsid w:val="000837D8"/>
    <w:rsid w:val="0008407F"/>
    <w:rsid w:val="00084DC9"/>
    <w:rsid w:val="00085096"/>
    <w:rsid w:val="00085515"/>
    <w:rsid w:val="00085674"/>
    <w:rsid w:val="00085B71"/>
    <w:rsid w:val="00087B18"/>
    <w:rsid w:val="000901A9"/>
    <w:rsid w:val="0009083E"/>
    <w:rsid w:val="0009098D"/>
    <w:rsid w:val="00090D31"/>
    <w:rsid w:val="00095E27"/>
    <w:rsid w:val="000966EA"/>
    <w:rsid w:val="0009759E"/>
    <w:rsid w:val="00097E91"/>
    <w:rsid w:val="000A0C04"/>
    <w:rsid w:val="000A113D"/>
    <w:rsid w:val="000A183D"/>
    <w:rsid w:val="000A1886"/>
    <w:rsid w:val="000A24F2"/>
    <w:rsid w:val="000A2C7A"/>
    <w:rsid w:val="000A36EC"/>
    <w:rsid w:val="000A4377"/>
    <w:rsid w:val="000A4C7B"/>
    <w:rsid w:val="000A5130"/>
    <w:rsid w:val="000A5708"/>
    <w:rsid w:val="000A57EC"/>
    <w:rsid w:val="000A5C4A"/>
    <w:rsid w:val="000A5C51"/>
    <w:rsid w:val="000A60B9"/>
    <w:rsid w:val="000A6244"/>
    <w:rsid w:val="000A6975"/>
    <w:rsid w:val="000A6BEA"/>
    <w:rsid w:val="000A6CF9"/>
    <w:rsid w:val="000A6E11"/>
    <w:rsid w:val="000A6E92"/>
    <w:rsid w:val="000A7889"/>
    <w:rsid w:val="000A7894"/>
    <w:rsid w:val="000A7BE2"/>
    <w:rsid w:val="000A7DAC"/>
    <w:rsid w:val="000B0A88"/>
    <w:rsid w:val="000B1634"/>
    <w:rsid w:val="000B2498"/>
    <w:rsid w:val="000B2D65"/>
    <w:rsid w:val="000B3C72"/>
    <w:rsid w:val="000B509D"/>
    <w:rsid w:val="000B5381"/>
    <w:rsid w:val="000B54A0"/>
    <w:rsid w:val="000B591F"/>
    <w:rsid w:val="000B5B86"/>
    <w:rsid w:val="000B66A7"/>
    <w:rsid w:val="000B761B"/>
    <w:rsid w:val="000B7A17"/>
    <w:rsid w:val="000C1234"/>
    <w:rsid w:val="000C141F"/>
    <w:rsid w:val="000C24DF"/>
    <w:rsid w:val="000C2752"/>
    <w:rsid w:val="000C2C68"/>
    <w:rsid w:val="000C43FC"/>
    <w:rsid w:val="000C4BCC"/>
    <w:rsid w:val="000C613B"/>
    <w:rsid w:val="000C6536"/>
    <w:rsid w:val="000C68F2"/>
    <w:rsid w:val="000C6ED2"/>
    <w:rsid w:val="000C755B"/>
    <w:rsid w:val="000C7AED"/>
    <w:rsid w:val="000D0673"/>
    <w:rsid w:val="000D0D5E"/>
    <w:rsid w:val="000D1820"/>
    <w:rsid w:val="000D18D4"/>
    <w:rsid w:val="000D2074"/>
    <w:rsid w:val="000D2192"/>
    <w:rsid w:val="000D24EA"/>
    <w:rsid w:val="000D2565"/>
    <w:rsid w:val="000D2B9E"/>
    <w:rsid w:val="000D3DCF"/>
    <w:rsid w:val="000D4B83"/>
    <w:rsid w:val="000D4CAF"/>
    <w:rsid w:val="000D5080"/>
    <w:rsid w:val="000D6179"/>
    <w:rsid w:val="000D6D84"/>
    <w:rsid w:val="000D712D"/>
    <w:rsid w:val="000D74D3"/>
    <w:rsid w:val="000D790F"/>
    <w:rsid w:val="000D7BB3"/>
    <w:rsid w:val="000D7C17"/>
    <w:rsid w:val="000E00B5"/>
    <w:rsid w:val="000E010B"/>
    <w:rsid w:val="000E02B6"/>
    <w:rsid w:val="000E052E"/>
    <w:rsid w:val="000E0DF4"/>
    <w:rsid w:val="000E12F5"/>
    <w:rsid w:val="000E2727"/>
    <w:rsid w:val="000E2807"/>
    <w:rsid w:val="000E2B6F"/>
    <w:rsid w:val="000E2B87"/>
    <w:rsid w:val="000E314C"/>
    <w:rsid w:val="000E378B"/>
    <w:rsid w:val="000E3A04"/>
    <w:rsid w:val="000E3F95"/>
    <w:rsid w:val="000E421B"/>
    <w:rsid w:val="000E451C"/>
    <w:rsid w:val="000E463F"/>
    <w:rsid w:val="000E4C0B"/>
    <w:rsid w:val="000E53A9"/>
    <w:rsid w:val="000E78BD"/>
    <w:rsid w:val="000F0461"/>
    <w:rsid w:val="000F09DB"/>
    <w:rsid w:val="000F1214"/>
    <w:rsid w:val="000F1C3A"/>
    <w:rsid w:val="000F2501"/>
    <w:rsid w:val="000F2FFC"/>
    <w:rsid w:val="000F3362"/>
    <w:rsid w:val="000F3669"/>
    <w:rsid w:val="000F3F3B"/>
    <w:rsid w:val="000F4353"/>
    <w:rsid w:val="000F5439"/>
    <w:rsid w:val="000F597C"/>
    <w:rsid w:val="000F5DD1"/>
    <w:rsid w:val="000F61FD"/>
    <w:rsid w:val="000F6686"/>
    <w:rsid w:val="000F6AB5"/>
    <w:rsid w:val="000F6AE6"/>
    <w:rsid w:val="000F6BDC"/>
    <w:rsid w:val="000F7149"/>
    <w:rsid w:val="000F7566"/>
    <w:rsid w:val="000F7788"/>
    <w:rsid w:val="000F7AE3"/>
    <w:rsid w:val="0010000E"/>
    <w:rsid w:val="001006F0"/>
    <w:rsid w:val="0010082E"/>
    <w:rsid w:val="00101624"/>
    <w:rsid w:val="00101782"/>
    <w:rsid w:val="0010185D"/>
    <w:rsid w:val="00101B32"/>
    <w:rsid w:val="00101E3B"/>
    <w:rsid w:val="00102251"/>
    <w:rsid w:val="00103287"/>
    <w:rsid w:val="00103DFF"/>
    <w:rsid w:val="001047AF"/>
    <w:rsid w:val="00104F36"/>
    <w:rsid w:val="00105361"/>
    <w:rsid w:val="00105B51"/>
    <w:rsid w:val="00106070"/>
    <w:rsid w:val="00106C5D"/>
    <w:rsid w:val="001107BD"/>
    <w:rsid w:val="001110BA"/>
    <w:rsid w:val="001114CC"/>
    <w:rsid w:val="0011357A"/>
    <w:rsid w:val="0011384A"/>
    <w:rsid w:val="00113AB1"/>
    <w:rsid w:val="00113C92"/>
    <w:rsid w:val="00114B8B"/>
    <w:rsid w:val="001155F8"/>
    <w:rsid w:val="00115D8A"/>
    <w:rsid w:val="001167E0"/>
    <w:rsid w:val="00116924"/>
    <w:rsid w:val="00117444"/>
    <w:rsid w:val="0011747E"/>
    <w:rsid w:val="00117D99"/>
    <w:rsid w:val="001202FD"/>
    <w:rsid w:val="001204A1"/>
    <w:rsid w:val="00120809"/>
    <w:rsid w:val="00120D35"/>
    <w:rsid w:val="00121377"/>
    <w:rsid w:val="00121535"/>
    <w:rsid w:val="00122D0F"/>
    <w:rsid w:val="001230B0"/>
    <w:rsid w:val="00123274"/>
    <w:rsid w:val="0012335B"/>
    <w:rsid w:val="001238D2"/>
    <w:rsid w:val="001239D9"/>
    <w:rsid w:val="00123CBA"/>
    <w:rsid w:val="00124461"/>
    <w:rsid w:val="00125534"/>
    <w:rsid w:val="001258C2"/>
    <w:rsid w:val="0012631F"/>
    <w:rsid w:val="00127408"/>
    <w:rsid w:val="00127BBF"/>
    <w:rsid w:val="00127E8A"/>
    <w:rsid w:val="001303A6"/>
    <w:rsid w:val="00130AC3"/>
    <w:rsid w:val="001310EA"/>
    <w:rsid w:val="00131E89"/>
    <w:rsid w:val="001322FF"/>
    <w:rsid w:val="0013490C"/>
    <w:rsid w:val="00134B73"/>
    <w:rsid w:val="0013594E"/>
    <w:rsid w:val="00135E1D"/>
    <w:rsid w:val="0013648A"/>
    <w:rsid w:val="00140CB9"/>
    <w:rsid w:val="00141A3C"/>
    <w:rsid w:val="00141FCE"/>
    <w:rsid w:val="00142595"/>
    <w:rsid w:val="001436F6"/>
    <w:rsid w:val="00143996"/>
    <w:rsid w:val="00143B29"/>
    <w:rsid w:val="00143EEA"/>
    <w:rsid w:val="00145219"/>
    <w:rsid w:val="001453A0"/>
    <w:rsid w:val="00145806"/>
    <w:rsid w:val="00145FFC"/>
    <w:rsid w:val="001461B3"/>
    <w:rsid w:val="00146C22"/>
    <w:rsid w:val="001504EE"/>
    <w:rsid w:val="00150936"/>
    <w:rsid w:val="0015094C"/>
    <w:rsid w:val="0015096B"/>
    <w:rsid w:val="00152706"/>
    <w:rsid w:val="00152D0C"/>
    <w:rsid w:val="00152E39"/>
    <w:rsid w:val="00153329"/>
    <w:rsid w:val="001544F3"/>
    <w:rsid w:val="001547BC"/>
    <w:rsid w:val="00155CDA"/>
    <w:rsid w:val="00156677"/>
    <w:rsid w:val="001571E2"/>
    <w:rsid w:val="00157B06"/>
    <w:rsid w:val="001607A6"/>
    <w:rsid w:val="00160CF9"/>
    <w:rsid w:val="00161340"/>
    <w:rsid w:val="0016163A"/>
    <w:rsid w:val="00162014"/>
    <w:rsid w:val="00162068"/>
    <w:rsid w:val="001627EF"/>
    <w:rsid w:val="00162B2A"/>
    <w:rsid w:val="00163029"/>
    <w:rsid w:val="00163DDC"/>
    <w:rsid w:val="00163E4D"/>
    <w:rsid w:val="0016471D"/>
    <w:rsid w:val="00164BF2"/>
    <w:rsid w:val="00165346"/>
    <w:rsid w:val="00166190"/>
    <w:rsid w:val="00166716"/>
    <w:rsid w:val="0016690A"/>
    <w:rsid w:val="00166ADD"/>
    <w:rsid w:val="00166B05"/>
    <w:rsid w:val="00166D07"/>
    <w:rsid w:val="00166D2E"/>
    <w:rsid w:val="00166FF9"/>
    <w:rsid w:val="00167D89"/>
    <w:rsid w:val="001704FB"/>
    <w:rsid w:val="00170C62"/>
    <w:rsid w:val="00171450"/>
    <w:rsid w:val="0017218D"/>
    <w:rsid w:val="00172F10"/>
    <w:rsid w:val="001730BA"/>
    <w:rsid w:val="00174434"/>
    <w:rsid w:val="001749BF"/>
    <w:rsid w:val="00174ED7"/>
    <w:rsid w:val="001756CB"/>
    <w:rsid w:val="00175817"/>
    <w:rsid w:val="001759AD"/>
    <w:rsid w:val="00175E91"/>
    <w:rsid w:val="0017692B"/>
    <w:rsid w:val="00176EB1"/>
    <w:rsid w:val="0017722C"/>
    <w:rsid w:val="00177293"/>
    <w:rsid w:val="0017751E"/>
    <w:rsid w:val="00180886"/>
    <w:rsid w:val="001816A1"/>
    <w:rsid w:val="0018180B"/>
    <w:rsid w:val="001819DA"/>
    <w:rsid w:val="001820E1"/>
    <w:rsid w:val="0018248C"/>
    <w:rsid w:val="001825A9"/>
    <w:rsid w:val="00182666"/>
    <w:rsid w:val="00182B81"/>
    <w:rsid w:val="0018315D"/>
    <w:rsid w:val="00183BA7"/>
    <w:rsid w:val="00183EA2"/>
    <w:rsid w:val="0018456C"/>
    <w:rsid w:val="00184682"/>
    <w:rsid w:val="001851B6"/>
    <w:rsid w:val="0018579B"/>
    <w:rsid w:val="001860CC"/>
    <w:rsid w:val="001863A0"/>
    <w:rsid w:val="001873BA"/>
    <w:rsid w:val="001873F9"/>
    <w:rsid w:val="00187824"/>
    <w:rsid w:val="00187CDB"/>
    <w:rsid w:val="00187CFF"/>
    <w:rsid w:val="001901B7"/>
    <w:rsid w:val="00191166"/>
    <w:rsid w:val="00191E5D"/>
    <w:rsid w:val="0019247C"/>
    <w:rsid w:val="00193736"/>
    <w:rsid w:val="001938FE"/>
    <w:rsid w:val="00193ED6"/>
    <w:rsid w:val="001945E7"/>
    <w:rsid w:val="00194710"/>
    <w:rsid w:val="00194AA4"/>
    <w:rsid w:val="00195D12"/>
    <w:rsid w:val="0019675D"/>
    <w:rsid w:val="00197809"/>
    <w:rsid w:val="00197A16"/>
    <w:rsid w:val="00197D79"/>
    <w:rsid w:val="001A0ED4"/>
    <w:rsid w:val="001A0FA8"/>
    <w:rsid w:val="001A0FF6"/>
    <w:rsid w:val="001A15BC"/>
    <w:rsid w:val="001A1B11"/>
    <w:rsid w:val="001A1EA8"/>
    <w:rsid w:val="001A2139"/>
    <w:rsid w:val="001A2C84"/>
    <w:rsid w:val="001A349A"/>
    <w:rsid w:val="001A3FCC"/>
    <w:rsid w:val="001A6CFE"/>
    <w:rsid w:val="001A72A0"/>
    <w:rsid w:val="001A7EF8"/>
    <w:rsid w:val="001B098E"/>
    <w:rsid w:val="001B0B6F"/>
    <w:rsid w:val="001B1227"/>
    <w:rsid w:val="001B18BC"/>
    <w:rsid w:val="001B1FC9"/>
    <w:rsid w:val="001B20C2"/>
    <w:rsid w:val="001B284C"/>
    <w:rsid w:val="001B28A4"/>
    <w:rsid w:val="001B2D6B"/>
    <w:rsid w:val="001B3510"/>
    <w:rsid w:val="001B4DFD"/>
    <w:rsid w:val="001B59C5"/>
    <w:rsid w:val="001B5FA3"/>
    <w:rsid w:val="001B654F"/>
    <w:rsid w:val="001B6944"/>
    <w:rsid w:val="001C0109"/>
    <w:rsid w:val="001C0337"/>
    <w:rsid w:val="001C041B"/>
    <w:rsid w:val="001C088F"/>
    <w:rsid w:val="001C09C5"/>
    <w:rsid w:val="001C0BE0"/>
    <w:rsid w:val="001C1505"/>
    <w:rsid w:val="001C1844"/>
    <w:rsid w:val="001C24FF"/>
    <w:rsid w:val="001C2A38"/>
    <w:rsid w:val="001C2DF7"/>
    <w:rsid w:val="001C3096"/>
    <w:rsid w:val="001C369E"/>
    <w:rsid w:val="001C387D"/>
    <w:rsid w:val="001C4695"/>
    <w:rsid w:val="001C4CCC"/>
    <w:rsid w:val="001C4DCB"/>
    <w:rsid w:val="001C56ED"/>
    <w:rsid w:val="001C56FA"/>
    <w:rsid w:val="001C6297"/>
    <w:rsid w:val="001C6484"/>
    <w:rsid w:val="001C65AE"/>
    <w:rsid w:val="001C70F6"/>
    <w:rsid w:val="001C75DD"/>
    <w:rsid w:val="001C77CD"/>
    <w:rsid w:val="001C7876"/>
    <w:rsid w:val="001C7885"/>
    <w:rsid w:val="001C7F5E"/>
    <w:rsid w:val="001D0437"/>
    <w:rsid w:val="001D0693"/>
    <w:rsid w:val="001D107E"/>
    <w:rsid w:val="001D1547"/>
    <w:rsid w:val="001D404E"/>
    <w:rsid w:val="001D5676"/>
    <w:rsid w:val="001D589E"/>
    <w:rsid w:val="001D60D5"/>
    <w:rsid w:val="001D61CA"/>
    <w:rsid w:val="001D6748"/>
    <w:rsid w:val="001D6F7E"/>
    <w:rsid w:val="001D6FEC"/>
    <w:rsid w:val="001D7008"/>
    <w:rsid w:val="001D7C4F"/>
    <w:rsid w:val="001E047D"/>
    <w:rsid w:val="001E093D"/>
    <w:rsid w:val="001E0AE0"/>
    <w:rsid w:val="001E1D0C"/>
    <w:rsid w:val="001E1FF8"/>
    <w:rsid w:val="001E38D6"/>
    <w:rsid w:val="001E38EE"/>
    <w:rsid w:val="001E3E92"/>
    <w:rsid w:val="001E417C"/>
    <w:rsid w:val="001E42C2"/>
    <w:rsid w:val="001E48D3"/>
    <w:rsid w:val="001E4BDE"/>
    <w:rsid w:val="001E5BCA"/>
    <w:rsid w:val="001E60A6"/>
    <w:rsid w:val="001E696E"/>
    <w:rsid w:val="001E6B9A"/>
    <w:rsid w:val="001E749F"/>
    <w:rsid w:val="001E74DE"/>
    <w:rsid w:val="001E7C18"/>
    <w:rsid w:val="001F0220"/>
    <w:rsid w:val="001F03D2"/>
    <w:rsid w:val="001F0C24"/>
    <w:rsid w:val="001F10D9"/>
    <w:rsid w:val="001F1109"/>
    <w:rsid w:val="001F1111"/>
    <w:rsid w:val="001F1645"/>
    <w:rsid w:val="001F1A3B"/>
    <w:rsid w:val="001F1C39"/>
    <w:rsid w:val="001F22D6"/>
    <w:rsid w:val="001F2A66"/>
    <w:rsid w:val="001F30A0"/>
    <w:rsid w:val="001F395F"/>
    <w:rsid w:val="001F43AD"/>
    <w:rsid w:val="001F4C20"/>
    <w:rsid w:val="001F5002"/>
    <w:rsid w:val="001F5205"/>
    <w:rsid w:val="001F5AB7"/>
    <w:rsid w:val="001F62A0"/>
    <w:rsid w:val="001F62CA"/>
    <w:rsid w:val="001F75C7"/>
    <w:rsid w:val="001F7A99"/>
    <w:rsid w:val="002001A0"/>
    <w:rsid w:val="00200264"/>
    <w:rsid w:val="002005EC"/>
    <w:rsid w:val="0020153D"/>
    <w:rsid w:val="002018CB"/>
    <w:rsid w:val="00201D66"/>
    <w:rsid w:val="00203AC5"/>
    <w:rsid w:val="00203BAC"/>
    <w:rsid w:val="00204005"/>
    <w:rsid w:val="00204A1F"/>
    <w:rsid w:val="00204C5D"/>
    <w:rsid w:val="0020522B"/>
    <w:rsid w:val="0020524A"/>
    <w:rsid w:val="00205BB0"/>
    <w:rsid w:val="002060B8"/>
    <w:rsid w:val="00207413"/>
    <w:rsid w:val="00207620"/>
    <w:rsid w:val="00207DB9"/>
    <w:rsid w:val="00210BCC"/>
    <w:rsid w:val="0021173A"/>
    <w:rsid w:val="0021195B"/>
    <w:rsid w:val="00212102"/>
    <w:rsid w:val="00212515"/>
    <w:rsid w:val="002127FF"/>
    <w:rsid w:val="00212B5C"/>
    <w:rsid w:val="00213282"/>
    <w:rsid w:val="0021474C"/>
    <w:rsid w:val="002153DE"/>
    <w:rsid w:val="00215775"/>
    <w:rsid w:val="00215840"/>
    <w:rsid w:val="002160E1"/>
    <w:rsid w:val="00216D16"/>
    <w:rsid w:val="00220547"/>
    <w:rsid w:val="00220F43"/>
    <w:rsid w:val="00221069"/>
    <w:rsid w:val="002231C0"/>
    <w:rsid w:val="002240DA"/>
    <w:rsid w:val="0022429A"/>
    <w:rsid w:val="00224824"/>
    <w:rsid w:val="00224920"/>
    <w:rsid w:val="00224AB3"/>
    <w:rsid w:val="0022554E"/>
    <w:rsid w:val="0022579C"/>
    <w:rsid w:val="002264D3"/>
    <w:rsid w:val="00226854"/>
    <w:rsid w:val="00226BF5"/>
    <w:rsid w:val="00230D73"/>
    <w:rsid w:val="002313B5"/>
    <w:rsid w:val="0023229B"/>
    <w:rsid w:val="00232578"/>
    <w:rsid w:val="00232B34"/>
    <w:rsid w:val="00233736"/>
    <w:rsid w:val="002339C0"/>
    <w:rsid w:val="00233BE3"/>
    <w:rsid w:val="00234FFD"/>
    <w:rsid w:val="0023667C"/>
    <w:rsid w:val="002401E5"/>
    <w:rsid w:val="0024049F"/>
    <w:rsid w:val="002411BA"/>
    <w:rsid w:val="00241754"/>
    <w:rsid w:val="00241CCB"/>
    <w:rsid w:val="002441DA"/>
    <w:rsid w:val="00244413"/>
    <w:rsid w:val="00244A8A"/>
    <w:rsid w:val="00244ADA"/>
    <w:rsid w:val="00244BFA"/>
    <w:rsid w:val="00245128"/>
    <w:rsid w:val="00245D29"/>
    <w:rsid w:val="00246150"/>
    <w:rsid w:val="002470F4"/>
    <w:rsid w:val="002471A1"/>
    <w:rsid w:val="00247573"/>
    <w:rsid w:val="002476ED"/>
    <w:rsid w:val="00247874"/>
    <w:rsid w:val="002504D7"/>
    <w:rsid w:val="00250CF2"/>
    <w:rsid w:val="0025102E"/>
    <w:rsid w:val="002512BB"/>
    <w:rsid w:val="00251492"/>
    <w:rsid w:val="00251991"/>
    <w:rsid w:val="00252AF3"/>
    <w:rsid w:val="00253555"/>
    <w:rsid w:val="002535A7"/>
    <w:rsid w:val="00253774"/>
    <w:rsid w:val="002539C6"/>
    <w:rsid w:val="00254135"/>
    <w:rsid w:val="002545C5"/>
    <w:rsid w:val="00254772"/>
    <w:rsid w:val="002548D3"/>
    <w:rsid w:val="00254DEA"/>
    <w:rsid w:val="002552CB"/>
    <w:rsid w:val="002555AD"/>
    <w:rsid w:val="00255940"/>
    <w:rsid w:val="00255984"/>
    <w:rsid w:val="0025598A"/>
    <w:rsid w:val="00256A91"/>
    <w:rsid w:val="00257341"/>
    <w:rsid w:val="002576B5"/>
    <w:rsid w:val="002576BD"/>
    <w:rsid w:val="00260C24"/>
    <w:rsid w:val="002626DF"/>
    <w:rsid w:val="00262C40"/>
    <w:rsid w:val="00263403"/>
    <w:rsid w:val="0026347B"/>
    <w:rsid w:val="0026378E"/>
    <w:rsid w:val="0026582D"/>
    <w:rsid w:val="00265A33"/>
    <w:rsid w:val="00266076"/>
    <w:rsid w:val="00267818"/>
    <w:rsid w:val="00267AF7"/>
    <w:rsid w:val="0027054D"/>
    <w:rsid w:val="00270FB8"/>
    <w:rsid w:val="002719E6"/>
    <w:rsid w:val="00272C11"/>
    <w:rsid w:val="00272DB2"/>
    <w:rsid w:val="00272DFE"/>
    <w:rsid w:val="002734BB"/>
    <w:rsid w:val="0027371F"/>
    <w:rsid w:val="00274856"/>
    <w:rsid w:val="00274971"/>
    <w:rsid w:val="00274ADE"/>
    <w:rsid w:val="00274CF6"/>
    <w:rsid w:val="00275558"/>
    <w:rsid w:val="0027566C"/>
    <w:rsid w:val="00276588"/>
    <w:rsid w:val="00277479"/>
    <w:rsid w:val="00281223"/>
    <w:rsid w:val="00281470"/>
    <w:rsid w:val="00281704"/>
    <w:rsid w:val="002846C4"/>
    <w:rsid w:val="00284823"/>
    <w:rsid w:val="00284978"/>
    <w:rsid w:val="00284D10"/>
    <w:rsid w:val="002850C0"/>
    <w:rsid w:val="0028536A"/>
    <w:rsid w:val="0028540B"/>
    <w:rsid w:val="00285EBB"/>
    <w:rsid w:val="002864B0"/>
    <w:rsid w:val="002866B4"/>
    <w:rsid w:val="00286A9F"/>
    <w:rsid w:val="00286BA7"/>
    <w:rsid w:val="00286FA9"/>
    <w:rsid w:val="00287D25"/>
    <w:rsid w:val="002905D1"/>
    <w:rsid w:val="00291281"/>
    <w:rsid w:val="00292F26"/>
    <w:rsid w:val="00294EB5"/>
    <w:rsid w:val="00294FAB"/>
    <w:rsid w:val="00295674"/>
    <w:rsid w:val="002957D5"/>
    <w:rsid w:val="0029595F"/>
    <w:rsid w:val="00296490"/>
    <w:rsid w:val="002A034E"/>
    <w:rsid w:val="002A0BE5"/>
    <w:rsid w:val="002A1576"/>
    <w:rsid w:val="002A2E02"/>
    <w:rsid w:val="002A3E76"/>
    <w:rsid w:val="002A443C"/>
    <w:rsid w:val="002A4A09"/>
    <w:rsid w:val="002A4BCA"/>
    <w:rsid w:val="002A4D3D"/>
    <w:rsid w:val="002A5054"/>
    <w:rsid w:val="002A5624"/>
    <w:rsid w:val="002A6295"/>
    <w:rsid w:val="002A6642"/>
    <w:rsid w:val="002A75D4"/>
    <w:rsid w:val="002B0AAF"/>
    <w:rsid w:val="002B1062"/>
    <w:rsid w:val="002B1CAF"/>
    <w:rsid w:val="002B270B"/>
    <w:rsid w:val="002B2783"/>
    <w:rsid w:val="002B2913"/>
    <w:rsid w:val="002B2ABC"/>
    <w:rsid w:val="002B3132"/>
    <w:rsid w:val="002B410E"/>
    <w:rsid w:val="002B48EF"/>
    <w:rsid w:val="002B4C4F"/>
    <w:rsid w:val="002B5650"/>
    <w:rsid w:val="002B5CCB"/>
    <w:rsid w:val="002B5F2A"/>
    <w:rsid w:val="002B6346"/>
    <w:rsid w:val="002B6B13"/>
    <w:rsid w:val="002B7BC3"/>
    <w:rsid w:val="002B7CFB"/>
    <w:rsid w:val="002C0466"/>
    <w:rsid w:val="002C04D6"/>
    <w:rsid w:val="002C12A5"/>
    <w:rsid w:val="002C15E8"/>
    <w:rsid w:val="002C1716"/>
    <w:rsid w:val="002C2A7A"/>
    <w:rsid w:val="002C2C3E"/>
    <w:rsid w:val="002C2EC4"/>
    <w:rsid w:val="002C37C7"/>
    <w:rsid w:val="002C4141"/>
    <w:rsid w:val="002C58E4"/>
    <w:rsid w:val="002C5D05"/>
    <w:rsid w:val="002C63E0"/>
    <w:rsid w:val="002C684A"/>
    <w:rsid w:val="002C73E4"/>
    <w:rsid w:val="002C7967"/>
    <w:rsid w:val="002C7F23"/>
    <w:rsid w:val="002D0A9B"/>
    <w:rsid w:val="002D0CA0"/>
    <w:rsid w:val="002D1072"/>
    <w:rsid w:val="002D1565"/>
    <w:rsid w:val="002D1EED"/>
    <w:rsid w:val="002D1FB4"/>
    <w:rsid w:val="002D26BB"/>
    <w:rsid w:val="002D3A14"/>
    <w:rsid w:val="002D4191"/>
    <w:rsid w:val="002D41F7"/>
    <w:rsid w:val="002D4596"/>
    <w:rsid w:val="002D4DC6"/>
    <w:rsid w:val="002D5046"/>
    <w:rsid w:val="002D5779"/>
    <w:rsid w:val="002D5988"/>
    <w:rsid w:val="002D5A49"/>
    <w:rsid w:val="002D72B6"/>
    <w:rsid w:val="002D7905"/>
    <w:rsid w:val="002D7B9B"/>
    <w:rsid w:val="002D7F61"/>
    <w:rsid w:val="002E08D1"/>
    <w:rsid w:val="002E1A40"/>
    <w:rsid w:val="002E2A45"/>
    <w:rsid w:val="002E3DAE"/>
    <w:rsid w:val="002E40BB"/>
    <w:rsid w:val="002E4418"/>
    <w:rsid w:val="002E4538"/>
    <w:rsid w:val="002E4D2E"/>
    <w:rsid w:val="002E57F6"/>
    <w:rsid w:val="002E596D"/>
    <w:rsid w:val="002E5A6F"/>
    <w:rsid w:val="002E7691"/>
    <w:rsid w:val="002F0020"/>
    <w:rsid w:val="002F03FD"/>
    <w:rsid w:val="002F0FC0"/>
    <w:rsid w:val="002F14CD"/>
    <w:rsid w:val="002F17B0"/>
    <w:rsid w:val="002F2155"/>
    <w:rsid w:val="002F273E"/>
    <w:rsid w:val="002F2AC5"/>
    <w:rsid w:val="002F5333"/>
    <w:rsid w:val="002F55C7"/>
    <w:rsid w:val="002F5A0D"/>
    <w:rsid w:val="002F5D4B"/>
    <w:rsid w:val="002F62E1"/>
    <w:rsid w:val="002F6B7B"/>
    <w:rsid w:val="002F71A7"/>
    <w:rsid w:val="002F7567"/>
    <w:rsid w:val="002F7714"/>
    <w:rsid w:val="002F7715"/>
    <w:rsid w:val="002F7CCC"/>
    <w:rsid w:val="002F7D10"/>
    <w:rsid w:val="00300128"/>
    <w:rsid w:val="00300981"/>
    <w:rsid w:val="0030111D"/>
    <w:rsid w:val="00301163"/>
    <w:rsid w:val="003017A7"/>
    <w:rsid w:val="00301AA9"/>
    <w:rsid w:val="0030290E"/>
    <w:rsid w:val="00302AA2"/>
    <w:rsid w:val="00303FCC"/>
    <w:rsid w:val="003047DD"/>
    <w:rsid w:val="00305A63"/>
    <w:rsid w:val="003071AC"/>
    <w:rsid w:val="00307567"/>
    <w:rsid w:val="00307A3A"/>
    <w:rsid w:val="003102EA"/>
    <w:rsid w:val="00310C4E"/>
    <w:rsid w:val="00311B4B"/>
    <w:rsid w:val="00312640"/>
    <w:rsid w:val="0031332D"/>
    <w:rsid w:val="0031351B"/>
    <w:rsid w:val="00313AE2"/>
    <w:rsid w:val="00313E5D"/>
    <w:rsid w:val="0031515A"/>
    <w:rsid w:val="003152A8"/>
    <w:rsid w:val="003171B3"/>
    <w:rsid w:val="003171C0"/>
    <w:rsid w:val="003177AB"/>
    <w:rsid w:val="00317EB0"/>
    <w:rsid w:val="00320208"/>
    <w:rsid w:val="003204DC"/>
    <w:rsid w:val="00321418"/>
    <w:rsid w:val="00321EBA"/>
    <w:rsid w:val="00321FC1"/>
    <w:rsid w:val="00322F50"/>
    <w:rsid w:val="00323AD2"/>
    <w:rsid w:val="0032414B"/>
    <w:rsid w:val="00325159"/>
    <w:rsid w:val="003254B3"/>
    <w:rsid w:val="00325C95"/>
    <w:rsid w:val="003263A0"/>
    <w:rsid w:val="00326804"/>
    <w:rsid w:val="00327B54"/>
    <w:rsid w:val="00331E54"/>
    <w:rsid w:val="00332104"/>
    <w:rsid w:val="00332B58"/>
    <w:rsid w:val="00332E3E"/>
    <w:rsid w:val="0033353B"/>
    <w:rsid w:val="00334331"/>
    <w:rsid w:val="003347FE"/>
    <w:rsid w:val="00335341"/>
    <w:rsid w:val="00336CEF"/>
    <w:rsid w:val="00336E58"/>
    <w:rsid w:val="00337E08"/>
    <w:rsid w:val="00337F91"/>
    <w:rsid w:val="00340C2A"/>
    <w:rsid w:val="00340E3B"/>
    <w:rsid w:val="00340F46"/>
    <w:rsid w:val="0034246F"/>
    <w:rsid w:val="003428ED"/>
    <w:rsid w:val="00342D82"/>
    <w:rsid w:val="003441C0"/>
    <w:rsid w:val="003445C4"/>
    <w:rsid w:val="00344C92"/>
    <w:rsid w:val="00344E6A"/>
    <w:rsid w:val="00344F6C"/>
    <w:rsid w:val="0034750A"/>
    <w:rsid w:val="00350B8E"/>
    <w:rsid w:val="00350EE3"/>
    <w:rsid w:val="003525D8"/>
    <w:rsid w:val="00352DD8"/>
    <w:rsid w:val="003530A4"/>
    <w:rsid w:val="00353865"/>
    <w:rsid w:val="00353B25"/>
    <w:rsid w:val="00354561"/>
    <w:rsid w:val="0035456C"/>
    <w:rsid w:val="0035544A"/>
    <w:rsid w:val="00355C17"/>
    <w:rsid w:val="00356B97"/>
    <w:rsid w:val="003572CF"/>
    <w:rsid w:val="00357391"/>
    <w:rsid w:val="00357752"/>
    <w:rsid w:val="0036001B"/>
    <w:rsid w:val="00360069"/>
    <w:rsid w:val="003606E5"/>
    <w:rsid w:val="003608C9"/>
    <w:rsid w:val="00361619"/>
    <w:rsid w:val="00361792"/>
    <w:rsid w:val="00361CC6"/>
    <w:rsid w:val="003622A2"/>
    <w:rsid w:val="00362771"/>
    <w:rsid w:val="00362E05"/>
    <w:rsid w:val="00362FA9"/>
    <w:rsid w:val="003632E1"/>
    <w:rsid w:val="0036332F"/>
    <w:rsid w:val="00363714"/>
    <w:rsid w:val="00363B77"/>
    <w:rsid w:val="0036567E"/>
    <w:rsid w:val="0036580F"/>
    <w:rsid w:val="00365C14"/>
    <w:rsid w:val="00366254"/>
    <w:rsid w:val="003671DB"/>
    <w:rsid w:val="00367219"/>
    <w:rsid w:val="00367689"/>
    <w:rsid w:val="0037269E"/>
    <w:rsid w:val="00372BF1"/>
    <w:rsid w:val="00372F4F"/>
    <w:rsid w:val="003736C5"/>
    <w:rsid w:val="0037468B"/>
    <w:rsid w:val="0037503A"/>
    <w:rsid w:val="003757CC"/>
    <w:rsid w:val="00375A4F"/>
    <w:rsid w:val="00376CD3"/>
    <w:rsid w:val="00376F94"/>
    <w:rsid w:val="003773F9"/>
    <w:rsid w:val="00377452"/>
    <w:rsid w:val="00377819"/>
    <w:rsid w:val="00377FD6"/>
    <w:rsid w:val="003805C5"/>
    <w:rsid w:val="00380790"/>
    <w:rsid w:val="00380C09"/>
    <w:rsid w:val="00381002"/>
    <w:rsid w:val="003814E8"/>
    <w:rsid w:val="00381976"/>
    <w:rsid w:val="00381AD7"/>
    <w:rsid w:val="00381D01"/>
    <w:rsid w:val="0038217F"/>
    <w:rsid w:val="0038219F"/>
    <w:rsid w:val="00383908"/>
    <w:rsid w:val="003839A8"/>
    <w:rsid w:val="00383CD2"/>
    <w:rsid w:val="00384518"/>
    <w:rsid w:val="0038460D"/>
    <w:rsid w:val="0038480E"/>
    <w:rsid w:val="00385003"/>
    <w:rsid w:val="00386F3C"/>
    <w:rsid w:val="00387954"/>
    <w:rsid w:val="00387C3A"/>
    <w:rsid w:val="00391065"/>
    <w:rsid w:val="003919AD"/>
    <w:rsid w:val="0039253F"/>
    <w:rsid w:val="00392583"/>
    <w:rsid w:val="003932E7"/>
    <w:rsid w:val="003935FA"/>
    <w:rsid w:val="00393ECD"/>
    <w:rsid w:val="003946C6"/>
    <w:rsid w:val="00394E98"/>
    <w:rsid w:val="003950D1"/>
    <w:rsid w:val="00397496"/>
    <w:rsid w:val="003A0BB1"/>
    <w:rsid w:val="003A0C29"/>
    <w:rsid w:val="003A0FBE"/>
    <w:rsid w:val="003A19CE"/>
    <w:rsid w:val="003A2D6C"/>
    <w:rsid w:val="003A42E4"/>
    <w:rsid w:val="003A56DB"/>
    <w:rsid w:val="003A56F0"/>
    <w:rsid w:val="003A6006"/>
    <w:rsid w:val="003A6C3C"/>
    <w:rsid w:val="003A7661"/>
    <w:rsid w:val="003A7717"/>
    <w:rsid w:val="003A7C60"/>
    <w:rsid w:val="003B02EB"/>
    <w:rsid w:val="003B0ABD"/>
    <w:rsid w:val="003B0C3E"/>
    <w:rsid w:val="003B0C74"/>
    <w:rsid w:val="003B0CD9"/>
    <w:rsid w:val="003B214B"/>
    <w:rsid w:val="003B34C5"/>
    <w:rsid w:val="003B378E"/>
    <w:rsid w:val="003B3ED4"/>
    <w:rsid w:val="003B4438"/>
    <w:rsid w:val="003B4492"/>
    <w:rsid w:val="003B46CA"/>
    <w:rsid w:val="003B54E8"/>
    <w:rsid w:val="003B57BD"/>
    <w:rsid w:val="003B633F"/>
    <w:rsid w:val="003B7265"/>
    <w:rsid w:val="003B7453"/>
    <w:rsid w:val="003B74E6"/>
    <w:rsid w:val="003B770F"/>
    <w:rsid w:val="003B794D"/>
    <w:rsid w:val="003B7B04"/>
    <w:rsid w:val="003C0D4B"/>
    <w:rsid w:val="003C111C"/>
    <w:rsid w:val="003C117C"/>
    <w:rsid w:val="003C13E8"/>
    <w:rsid w:val="003C177A"/>
    <w:rsid w:val="003C1B5D"/>
    <w:rsid w:val="003C1F32"/>
    <w:rsid w:val="003C27B8"/>
    <w:rsid w:val="003C2BBA"/>
    <w:rsid w:val="003C32EB"/>
    <w:rsid w:val="003C33C0"/>
    <w:rsid w:val="003C3945"/>
    <w:rsid w:val="003C3AD3"/>
    <w:rsid w:val="003C3DC0"/>
    <w:rsid w:val="003C407E"/>
    <w:rsid w:val="003C435F"/>
    <w:rsid w:val="003C4A29"/>
    <w:rsid w:val="003C6BA0"/>
    <w:rsid w:val="003D128D"/>
    <w:rsid w:val="003D17A2"/>
    <w:rsid w:val="003D1C96"/>
    <w:rsid w:val="003D2221"/>
    <w:rsid w:val="003D236B"/>
    <w:rsid w:val="003D32FE"/>
    <w:rsid w:val="003D3375"/>
    <w:rsid w:val="003D5207"/>
    <w:rsid w:val="003D5B7E"/>
    <w:rsid w:val="003D6959"/>
    <w:rsid w:val="003D6B89"/>
    <w:rsid w:val="003E0E97"/>
    <w:rsid w:val="003E1C1C"/>
    <w:rsid w:val="003E27BB"/>
    <w:rsid w:val="003E284C"/>
    <w:rsid w:val="003E29FC"/>
    <w:rsid w:val="003E3678"/>
    <w:rsid w:val="003E4764"/>
    <w:rsid w:val="003E4897"/>
    <w:rsid w:val="003E51FB"/>
    <w:rsid w:val="003E58B5"/>
    <w:rsid w:val="003E59EE"/>
    <w:rsid w:val="003E6231"/>
    <w:rsid w:val="003E6F92"/>
    <w:rsid w:val="003E7121"/>
    <w:rsid w:val="003E7368"/>
    <w:rsid w:val="003E73BC"/>
    <w:rsid w:val="003F0273"/>
    <w:rsid w:val="003F191D"/>
    <w:rsid w:val="003F20BB"/>
    <w:rsid w:val="003F2E04"/>
    <w:rsid w:val="003F3F40"/>
    <w:rsid w:val="003F4092"/>
    <w:rsid w:val="003F475F"/>
    <w:rsid w:val="003F531D"/>
    <w:rsid w:val="003F53EA"/>
    <w:rsid w:val="003F6195"/>
    <w:rsid w:val="003F6294"/>
    <w:rsid w:val="003F68A6"/>
    <w:rsid w:val="003F6965"/>
    <w:rsid w:val="003F6E42"/>
    <w:rsid w:val="003F7074"/>
    <w:rsid w:val="003F7664"/>
    <w:rsid w:val="003F7AC1"/>
    <w:rsid w:val="0040062D"/>
    <w:rsid w:val="00400ED7"/>
    <w:rsid w:val="00400EE0"/>
    <w:rsid w:val="00400FC8"/>
    <w:rsid w:val="004015B8"/>
    <w:rsid w:val="00401663"/>
    <w:rsid w:val="004018F4"/>
    <w:rsid w:val="004021F3"/>
    <w:rsid w:val="004026E8"/>
    <w:rsid w:val="004027BA"/>
    <w:rsid w:val="00403039"/>
    <w:rsid w:val="0040363C"/>
    <w:rsid w:val="0040363F"/>
    <w:rsid w:val="00403A19"/>
    <w:rsid w:val="004049FB"/>
    <w:rsid w:val="00404B5C"/>
    <w:rsid w:val="004050CB"/>
    <w:rsid w:val="0040565F"/>
    <w:rsid w:val="00405BC7"/>
    <w:rsid w:val="004070B6"/>
    <w:rsid w:val="00410241"/>
    <w:rsid w:val="00410291"/>
    <w:rsid w:val="00410440"/>
    <w:rsid w:val="0041063C"/>
    <w:rsid w:val="004109AD"/>
    <w:rsid w:val="00410A7A"/>
    <w:rsid w:val="00411E75"/>
    <w:rsid w:val="00412410"/>
    <w:rsid w:val="0041291C"/>
    <w:rsid w:val="00413728"/>
    <w:rsid w:val="004140E9"/>
    <w:rsid w:val="0041463C"/>
    <w:rsid w:val="00414E13"/>
    <w:rsid w:val="004151F6"/>
    <w:rsid w:val="00415663"/>
    <w:rsid w:val="00415A66"/>
    <w:rsid w:val="00415C3F"/>
    <w:rsid w:val="00415EC2"/>
    <w:rsid w:val="00416326"/>
    <w:rsid w:val="00416539"/>
    <w:rsid w:val="00416853"/>
    <w:rsid w:val="00416EB1"/>
    <w:rsid w:val="00416FE8"/>
    <w:rsid w:val="004171B7"/>
    <w:rsid w:val="004171E6"/>
    <w:rsid w:val="004172F0"/>
    <w:rsid w:val="004174CE"/>
    <w:rsid w:val="0041756C"/>
    <w:rsid w:val="00417799"/>
    <w:rsid w:val="004178E5"/>
    <w:rsid w:val="0042011B"/>
    <w:rsid w:val="00420BF6"/>
    <w:rsid w:val="00422AB8"/>
    <w:rsid w:val="00422CAB"/>
    <w:rsid w:val="00422CBC"/>
    <w:rsid w:val="004239AD"/>
    <w:rsid w:val="00424B95"/>
    <w:rsid w:val="00425019"/>
    <w:rsid w:val="00425050"/>
    <w:rsid w:val="004251BE"/>
    <w:rsid w:val="004266AF"/>
    <w:rsid w:val="00426955"/>
    <w:rsid w:val="00426D3F"/>
    <w:rsid w:val="00427318"/>
    <w:rsid w:val="00427520"/>
    <w:rsid w:val="00430523"/>
    <w:rsid w:val="00430C0B"/>
    <w:rsid w:val="00431692"/>
    <w:rsid w:val="00431FAC"/>
    <w:rsid w:val="00432DAE"/>
    <w:rsid w:val="0043333B"/>
    <w:rsid w:val="0043487F"/>
    <w:rsid w:val="00435096"/>
    <w:rsid w:val="004355FB"/>
    <w:rsid w:val="0043560F"/>
    <w:rsid w:val="004356A2"/>
    <w:rsid w:val="00435C09"/>
    <w:rsid w:val="004363BC"/>
    <w:rsid w:val="00437A67"/>
    <w:rsid w:val="00437D96"/>
    <w:rsid w:val="00437E4A"/>
    <w:rsid w:val="004400BC"/>
    <w:rsid w:val="00440214"/>
    <w:rsid w:val="00440DC5"/>
    <w:rsid w:val="00440FE4"/>
    <w:rsid w:val="00441063"/>
    <w:rsid w:val="00441342"/>
    <w:rsid w:val="004423A8"/>
    <w:rsid w:val="004430E6"/>
    <w:rsid w:val="004437CE"/>
    <w:rsid w:val="00443C14"/>
    <w:rsid w:val="00443F84"/>
    <w:rsid w:val="0044483C"/>
    <w:rsid w:val="004450B8"/>
    <w:rsid w:val="00445C64"/>
    <w:rsid w:val="00446814"/>
    <w:rsid w:val="00447A71"/>
    <w:rsid w:val="00447AE4"/>
    <w:rsid w:val="00447C01"/>
    <w:rsid w:val="0045038E"/>
    <w:rsid w:val="004510ED"/>
    <w:rsid w:val="00451412"/>
    <w:rsid w:val="0045154D"/>
    <w:rsid w:val="0045166F"/>
    <w:rsid w:val="00451BC6"/>
    <w:rsid w:val="00451F6A"/>
    <w:rsid w:val="00452043"/>
    <w:rsid w:val="00452AF0"/>
    <w:rsid w:val="00452BE9"/>
    <w:rsid w:val="004533EC"/>
    <w:rsid w:val="00453E51"/>
    <w:rsid w:val="00454789"/>
    <w:rsid w:val="00454CFF"/>
    <w:rsid w:val="004553D5"/>
    <w:rsid w:val="0045639F"/>
    <w:rsid w:val="004563A4"/>
    <w:rsid w:val="004567A4"/>
    <w:rsid w:val="004567B0"/>
    <w:rsid w:val="00456900"/>
    <w:rsid w:val="004575CA"/>
    <w:rsid w:val="00457EBE"/>
    <w:rsid w:val="0046088A"/>
    <w:rsid w:val="00460CF3"/>
    <w:rsid w:val="004619DA"/>
    <w:rsid w:val="0046208C"/>
    <w:rsid w:val="004630A2"/>
    <w:rsid w:val="00463A68"/>
    <w:rsid w:val="00464A7E"/>
    <w:rsid w:val="00465808"/>
    <w:rsid w:val="00465B91"/>
    <w:rsid w:val="00465BA9"/>
    <w:rsid w:val="00465C74"/>
    <w:rsid w:val="0046642F"/>
    <w:rsid w:val="0046685B"/>
    <w:rsid w:val="00466FBD"/>
    <w:rsid w:val="004676C6"/>
    <w:rsid w:val="00467A10"/>
    <w:rsid w:val="00470478"/>
    <w:rsid w:val="00471F0C"/>
    <w:rsid w:val="004724C9"/>
    <w:rsid w:val="004738C3"/>
    <w:rsid w:val="00473B8A"/>
    <w:rsid w:val="00473BEB"/>
    <w:rsid w:val="00473E39"/>
    <w:rsid w:val="00474FFE"/>
    <w:rsid w:val="00475330"/>
    <w:rsid w:val="0047580F"/>
    <w:rsid w:val="00475838"/>
    <w:rsid w:val="00475986"/>
    <w:rsid w:val="00475E52"/>
    <w:rsid w:val="00480C2D"/>
    <w:rsid w:val="004811EF"/>
    <w:rsid w:val="0048120A"/>
    <w:rsid w:val="004816EC"/>
    <w:rsid w:val="00481B6E"/>
    <w:rsid w:val="00482886"/>
    <w:rsid w:val="004836BF"/>
    <w:rsid w:val="00483710"/>
    <w:rsid w:val="0048448D"/>
    <w:rsid w:val="00484A2C"/>
    <w:rsid w:val="00485022"/>
    <w:rsid w:val="00485652"/>
    <w:rsid w:val="00485E1C"/>
    <w:rsid w:val="00486379"/>
    <w:rsid w:val="00486966"/>
    <w:rsid w:val="00486E45"/>
    <w:rsid w:val="004873DA"/>
    <w:rsid w:val="0048770E"/>
    <w:rsid w:val="0048788B"/>
    <w:rsid w:val="00487918"/>
    <w:rsid w:val="00490BE9"/>
    <w:rsid w:val="00492287"/>
    <w:rsid w:val="004925FB"/>
    <w:rsid w:val="0049364C"/>
    <w:rsid w:val="00493D4A"/>
    <w:rsid w:val="00494502"/>
    <w:rsid w:val="004947A3"/>
    <w:rsid w:val="00496099"/>
    <w:rsid w:val="0049620B"/>
    <w:rsid w:val="00496C3D"/>
    <w:rsid w:val="00496E93"/>
    <w:rsid w:val="00496F5F"/>
    <w:rsid w:val="00497231"/>
    <w:rsid w:val="004978E7"/>
    <w:rsid w:val="00497C48"/>
    <w:rsid w:val="004A02EF"/>
    <w:rsid w:val="004A0F02"/>
    <w:rsid w:val="004A123C"/>
    <w:rsid w:val="004A13FB"/>
    <w:rsid w:val="004A1AE3"/>
    <w:rsid w:val="004A20CD"/>
    <w:rsid w:val="004A3BE2"/>
    <w:rsid w:val="004A3E17"/>
    <w:rsid w:val="004A4420"/>
    <w:rsid w:val="004A447A"/>
    <w:rsid w:val="004A4F5E"/>
    <w:rsid w:val="004A5178"/>
    <w:rsid w:val="004A51FE"/>
    <w:rsid w:val="004A58F9"/>
    <w:rsid w:val="004A6C39"/>
    <w:rsid w:val="004A7CCF"/>
    <w:rsid w:val="004B0BD9"/>
    <w:rsid w:val="004B135C"/>
    <w:rsid w:val="004B169E"/>
    <w:rsid w:val="004B3BAB"/>
    <w:rsid w:val="004B536D"/>
    <w:rsid w:val="004B5A29"/>
    <w:rsid w:val="004B5DD1"/>
    <w:rsid w:val="004B6C1C"/>
    <w:rsid w:val="004B6E05"/>
    <w:rsid w:val="004B7217"/>
    <w:rsid w:val="004B733C"/>
    <w:rsid w:val="004B74F6"/>
    <w:rsid w:val="004C00AC"/>
    <w:rsid w:val="004C01A0"/>
    <w:rsid w:val="004C0649"/>
    <w:rsid w:val="004C0877"/>
    <w:rsid w:val="004C08D9"/>
    <w:rsid w:val="004C09CA"/>
    <w:rsid w:val="004C0F34"/>
    <w:rsid w:val="004C268A"/>
    <w:rsid w:val="004C3B37"/>
    <w:rsid w:val="004C499E"/>
    <w:rsid w:val="004C52F4"/>
    <w:rsid w:val="004C52F5"/>
    <w:rsid w:val="004C543C"/>
    <w:rsid w:val="004C60AD"/>
    <w:rsid w:val="004C6416"/>
    <w:rsid w:val="004C683F"/>
    <w:rsid w:val="004C7D7A"/>
    <w:rsid w:val="004C7F59"/>
    <w:rsid w:val="004D0200"/>
    <w:rsid w:val="004D032D"/>
    <w:rsid w:val="004D05A4"/>
    <w:rsid w:val="004D0A84"/>
    <w:rsid w:val="004D1B89"/>
    <w:rsid w:val="004D2380"/>
    <w:rsid w:val="004D32BC"/>
    <w:rsid w:val="004D3404"/>
    <w:rsid w:val="004D34B3"/>
    <w:rsid w:val="004D3A71"/>
    <w:rsid w:val="004D3BB6"/>
    <w:rsid w:val="004D3C94"/>
    <w:rsid w:val="004D4544"/>
    <w:rsid w:val="004D4F50"/>
    <w:rsid w:val="004D74C4"/>
    <w:rsid w:val="004E0AB9"/>
    <w:rsid w:val="004E0B9B"/>
    <w:rsid w:val="004E0CDF"/>
    <w:rsid w:val="004E101F"/>
    <w:rsid w:val="004E28D1"/>
    <w:rsid w:val="004E2F8D"/>
    <w:rsid w:val="004E2FCF"/>
    <w:rsid w:val="004E3034"/>
    <w:rsid w:val="004E3774"/>
    <w:rsid w:val="004E468A"/>
    <w:rsid w:val="004E46BE"/>
    <w:rsid w:val="004E475B"/>
    <w:rsid w:val="004E524E"/>
    <w:rsid w:val="004E63B3"/>
    <w:rsid w:val="004E7178"/>
    <w:rsid w:val="004E7849"/>
    <w:rsid w:val="004F0D09"/>
    <w:rsid w:val="004F106F"/>
    <w:rsid w:val="004F1561"/>
    <w:rsid w:val="004F162E"/>
    <w:rsid w:val="004F23C5"/>
    <w:rsid w:val="004F2557"/>
    <w:rsid w:val="004F26DE"/>
    <w:rsid w:val="004F3483"/>
    <w:rsid w:val="004F355C"/>
    <w:rsid w:val="004F3DB7"/>
    <w:rsid w:val="004F42CD"/>
    <w:rsid w:val="004F469F"/>
    <w:rsid w:val="004F4DB3"/>
    <w:rsid w:val="004F4EED"/>
    <w:rsid w:val="004F5480"/>
    <w:rsid w:val="004F66FF"/>
    <w:rsid w:val="004F7202"/>
    <w:rsid w:val="004F729E"/>
    <w:rsid w:val="004F7693"/>
    <w:rsid w:val="004F79DB"/>
    <w:rsid w:val="00500D95"/>
    <w:rsid w:val="00500F3A"/>
    <w:rsid w:val="00501290"/>
    <w:rsid w:val="005012EE"/>
    <w:rsid w:val="00501DF7"/>
    <w:rsid w:val="00502736"/>
    <w:rsid w:val="00504241"/>
    <w:rsid w:val="00504319"/>
    <w:rsid w:val="005046E9"/>
    <w:rsid w:val="005049D6"/>
    <w:rsid w:val="005056FF"/>
    <w:rsid w:val="0050586A"/>
    <w:rsid w:val="00505A1F"/>
    <w:rsid w:val="005060C6"/>
    <w:rsid w:val="00507052"/>
    <w:rsid w:val="00507A21"/>
    <w:rsid w:val="00507E5E"/>
    <w:rsid w:val="005102EC"/>
    <w:rsid w:val="00510A92"/>
    <w:rsid w:val="005117F1"/>
    <w:rsid w:val="00511BC5"/>
    <w:rsid w:val="00512781"/>
    <w:rsid w:val="00512825"/>
    <w:rsid w:val="00512D98"/>
    <w:rsid w:val="0051390C"/>
    <w:rsid w:val="005139A7"/>
    <w:rsid w:val="00513C44"/>
    <w:rsid w:val="0051472D"/>
    <w:rsid w:val="00514AC6"/>
    <w:rsid w:val="005152FA"/>
    <w:rsid w:val="00515B36"/>
    <w:rsid w:val="00517B38"/>
    <w:rsid w:val="0052067F"/>
    <w:rsid w:val="00520D1E"/>
    <w:rsid w:val="0052110F"/>
    <w:rsid w:val="00521587"/>
    <w:rsid w:val="0052164A"/>
    <w:rsid w:val="005221E4"/>
    <w:rsid w:val="00522439"/>
    <w:rsid w:val="0052448C"/>
    <w:rsid w:val="00526492"/>
    <w:rsid w:val="00527834"/>
    <w:rsid w:val="005310E5"/>
    <w:rsid w:val="005318A5"/>
    <w:rsid w:val="00531AB8"/>
    <w:rsid w:val="00531C4F"/>
    <w:rsid w:val="00531F4F"/>
    <w:rsid w:val="00532BFA"/>
    <w:rsid w:val="00532C5C"/>
    <w:rsid w:val="00533AA9"/>
    <w:rsid w:val="00533ED5"/>
    <w:rsid w:val="00536524"/>
    <w:rsid w:val="005367B8"/>
    <w:rsid w:val="00537224"/>
    <w:rsid w:val="00537867"/>
    <w:rsid w:val="005378F0"/>
    <w:rsid w:val="00540A44"/>
    <w:rsid w:val="0054133E"/>
    <w:rsid w:val="0054143F"/>
    <w:rsid w:val="005416ED"/>
    <w:rsid w:val="005427A2"/>
    <w:rsid w:val="0054345D"/>
    <w:rsid w:val="00543658"/>
    <w:rsid w:val="00544126"/>
    <w:rsid w:val="005441D2"/>
    <w:rsid w:val="0054443C"/>
    <w:rsid w:val="005444F9"/>
    <w:rsid w:val="0054455D"/>
    <w:rsid w:val="00546641"/>
    <w:rsid w:val="00546F59"/>
    <w:rsid w:val="00547477"/>
    <w:rsid w:val="0054751A"/>
    <w:rsid w:val="005477FD"/>
    <w:rsid w:val="00550B1B"/>
    <w:rsid w:val="00551150"/>
    <w:rsid w:val="005513E9"/>
    <w:rsid w:val="00551DEE"/>
    <w:rsid w:val="005530DD"/>
    <w:rsid w:val="00554ABF"/>
    <w:rsid w:val="00554B46"/>
    <w:rsid w:val="00554F1F"/>
    <w:rsid w:val="00555192"/>
    <w:rsid w:val="00555240"/>
    <w:rsid w:val="00555436"/>
    <w:rsid w:val="00555AE5"/>
    <w:rsid w:val="00556040"/>
    <w:rsid w:val="00556EC1"/>
    <w:rsid w:val="0056022E"/>
    <w:rsid w:val="00560B85"/>
    <w:rsid w:val="00560DED"/>
    <w:rsid w:val="00562629"/>
    <w:rsid w:val="005629F2"/>
    <w:rsid w:val="00562D2C"/>
    <w:rsid w:val="00563AAA"/>
    <w:rsid w:val="00563F88"/>
    <w:rsid w:val="005650ED"/>
    <w:rsid w:val="005659EF"/>
    <w:rsid w:val="00565D6A"/>
    <w:rsid w:val="00565E57"/>
    <w:rsid w:val="005668CF"/>
    <w:rsid w:val="00566D2F"/>
    <w:rsid w:val="00567592"/>
    <w:rsid w:val="00567D57"/>
    <w:rsid w:val="005707C4"/>
    <w:rsid w:val="00571018"/>
    <w:rsid w:val="0057121F"/>
    <w:rsid w:val="00571378"/>
    <w:rsid w:val="005716AD"/>
    <w:rsid w:val="00571814"/>
    <w:rsid w:val="005729CA"/>
    <w:rsid w:val="00572A56"/>
    <w:rsid w:val="00572D47"/>
    <w:rsid w:val="0057344C"/>
    <w:rsid w:val="005737CA"/>
    <w:rsid w:val="0057457D"/>
    <w:rsid w:val="00574DD1"/>
    <w:rsid w:val="00574F69"/>
    <w:rsid w:val="005754DB"/>
    <w:rsid w:val="0057589D"/>
    <w:rsid w:val="00575DC9"/>
    <w:rsid w:val="00576228"/>
    <w:rsid w:val="00576A45"/>
    <w:rsid w:val="00576E28"/>
    <w:rsid w:val="005771FD"/>
    <w:rsid w:val="00577C02"/>
    <w:rsid w:val="00580C4B"/>
    <w:rsid w:val="0058177C"/>
    <w:rsid w:val="00581B1B"/>
    <w:rsid w:val="00583677"/>
    <w:rsid w:val="00583B0B"/>
    <w:rsid w:val="00584CEB"/>
    <w:rsid w:val="00585B36"/>
    <w:rsid w:val="00585D87"/>
    <w:rsid w:val="00586492"/>
    <w:rsid w:val="00586FD3"/>
    <w:rsid w:val="00587041"/>
    <w:rsid w:val="00590972"/>
    <w:rsid w:val="0059112A"/>
    <w:rsid w:val="0059148D"/>
    <w:rsid w:val="00591AF5"/>
    <w:rsid w:val="005926C3"/>
    <w:rsid w:val="005928CE"/>
    <w:rsid w:val="00592AF5"/>
    <w:rsid w:val="0059366B"/>
    <w:rsid w:val="00593E83"/>
    <w:rsid w:val="00594057"/>
    <w:rsid w:val="0059470A"/>
    <w:rsid w:val="00594FC8"/>
    <w:rsid w:val="005964E2"/>
    <w:rsid w:val="00596B17"/>
    <w:rsid w:val="0059756B"/>
    <w:rsid w:val="005976B4"/>
    <w:rsid w:val="00597879"/>
    <w:rsid w:val="005979AD"/>
    <w:rsid w:val="005A07D1"/>
    <w:rsid w:val="005A10BA"/>
    <w:rsid w:val="005A126C"/>
    <w:rsid w:val="005A1921"/>
    <w:rsid w:val="005A2F60"/>
    <w:rsid w:val="005A31D6"/>
    <w:rsid w:val="005A4821"/>
    <w:rsid w:val="005A549C"/>
    <w:rsid w:val="005A54D7"/>
    <w:rsid w:val="005A5A4B"/>
    <w:rsid w:val="005A5DBE"/>
    <w:rsid w:val="005A63F1"/>
    <w:rsid w:val="005A696E"/>
    <w:rsid w:val="005A6C9A"/>
    <w:rsid w:val="005A7D17"/>
    <w:rsid w:val="005A7D5B"/>
    <w:rsid w:val="005B07FF"/>
    <w:rsid w:val="005B1D1E"/>
    <w:rsid w:val="005B1E1B"/>
    <w:rsid w:val="005B1E60"/>
    <w:rsid w:val="005B2AD1"/>
    <w:rsid w:val="005B2E7D"/>
    <w:rsid w:val="005B3170"/>
    <w:rsid w:val="005B3F4B"/>
    <w:rsid w:val="005B403B"/>
    <w:rsid w:val="005B555C"/>
    <w:rsid w:val="005B59A7"/>
    <w:rsid w:val="005B5D61"/>
    <w:rsid w:val="005B6EA2"/>
    <w:rsid w:val="005B7B42"/>
    <w:rsid w:val="005B7D85"/>
    <w:rsid w:val="005C0232"/>
    <w:rsid w:val="005C05B6"/>
    <w:rsid w:val="005C0672"/>
    <w:rsid w:val="005C0689"/>
    <w:rsid w:val="005C0A4E"/>
    <w:rsid w:val="005C0D3B"/>
    <w:rsid w:val="005C1117"/>
    <w:rsid w:val="005C1604"/>
    <w:rsid w:val="005C1E7E"/>
    <w:rsid w:val="005C2024"/>
    <w:rsid w:val="005C2711"/>
    <w:rsid w:val="005C302E"/>
    <w:rsid w:val="005C3626"/>
    <w:rsid w:val="005C38D0"/>
    <w:rsid w:val="005C4143"/>
    <w:rsid w:val="005C4680"/>
    <w:rsid w:val="005C485E"/>
    <w:rsid w:val="005C4CC9"/>
    <w:rsid w:val="005C57B1"/>
    <w:rsid w:val="005C590A"/>
    <w:rsid w:val="005C59F5"/>
    <w:rsid w:val="005C5AD5"/>
    <w:rsid w:val="005C6037"/>
    <w:rsid w:val="005D01F4"/>
    <w:rsid w:val="005D02E5"/>
    <w:rsid w:val="005D08AD"/>
    <w:rsid w:val="005D206F"/>
    <w:rsid w:val="005D227C"/>
    <w:rsid w:val="005D2298"/>
    <w:rsid w:val="005D2F57"/>
    <w:rsid w:val="005D2F95"/>
    <w:rsid w:val="005D3EB9"/>
    <w:rsid w:val="005D3ECF"/>
    <w:rsid w:val="005D4CB4"/>
    <w:rsid w:val="005D5295"/>
    <w:rsid w:val="005D5317"/>
    <w:rsid w:val="005D537C"/>
    <w:rsid w:val="005D54CF"/>
    <w:rsid w:val="005D556A"/>
    <w:rsid w:val="005D6C52"/>
    <w:rsid w:val="005D7B97"/>
    <w:rsid w:val="005E0501"/>
    <w:rsid w:val="005E066E"/>
    <w:rsid w:val="005E07F6"/>
    <w:rsid w:val="005E096D"/>
    <w:rsid w:val="005E1179"/>
    <w:rsid w:val="005E2179"/>
    <w:rsid w:val="005E220E"/>
    <w:rsid w:val="005E2545"/>
    <w:rsid w:val="005E2ADE"/>
    <w:rsid w:val="005E3F3E"/>
    <w:rsid w:val="005E46C8"/>
    <w:rsid w:val="005E4991"/>
    <w:rsid w:val="005E4CA2"/>
    <w:rsid w:val="005E4E58"/>
    <w:rsid w:val="005E58B3"/>
    <w:rsid w:val="005E5ABD"/>
    <w:rsid w:val="005E5C89"/>
    <w:rsid w:val="005E68C8"/>
    <w:rsid w:val="005E6B15"/>
    <w:rsid w:val="005E7323"/>
    <w:rsid w:val="005E7EA0"/>
    <w:rsid w:val="005F0C7B"/>
    <w:rsid w:val="005F0E27"/>
    <w:rsid w:val="005F199B"/>
    <w:rsid w:val="005F22AB"/>
    <w:rsid w:val="005F26BE"/>
    <w:rsid w:val="005F2973"/>
    <w:rsid w:val="005F312D"/>
    <w:rsid w:val="005F4C36"/>
    <w:rsid w:val="005F5C77"/>
    <w:rsid w:val="005F5DBB"/>
    <w:rsid w:val="005F7392"/>
    <w:rsid w:val="005F740A"/>
    <w:rsid w:val="005F75F9"/>
    <w:rsid w:val="005F7E13"/>
    <w:rsid w:val="005F7ECF"/>
    <w:rsid w:val="00600D59"/>
    <w:rsid w:val="00601ECD"/>
    <w:rsid w:val="006031CA"/>
    <w:rsid w:val="0060338A"/>
    <w:rsid w:val="006037E5"/>
    <w:rsid w:val="0060396B"/>
    <w:rsid w:val="00604BB2"/>
    <w:rsid w:val="00605359"/>
    <w:rsid w:val="0060557B"/>
    <w:rsid w:val="00605693"/>
    <w:rsid w:val="00605D68"/>
    <w:rsid w:val="00605FE4"/>
    <w:rsid w:val="0060728A"/>
    <w:rsid w:val="00607BC5"/>
    <w:rsid w:val="00607E85"/>
    <w:rsid w:val="00610503"/>
    <w:rsid w:val="006109DC"/>
    <w:rsid w:val="00610E66"/>
    <w:rsid w:val="00611509"/>
    <w:rsid w:val="00611BE8"/>
    <w:rsid w:val="006120B8"/>
    <w:rsid w:val="00612F0A"/>
    <w:rsid w:val="0061390A"/>
    <w:rsid w:val="00613A93"/>
    <w:rsid w:val="00613CDA"/>
    <w:rsid w:val="00614555"/>
    <w:rsid w:val="00614CD7"/>
    <w:rsid w:val="00616391"/>
    <w:rsid w:val="006176FD"/>
    <w:rsid w:val="0062038B"/>
    <w:rsid w:val="00620D14"/>
    <w:rsid w:val="0062198E"/>
    <w:rsid w:val="00622122"/>
    <w:rsid w:val="00622370"/>
    <w:rsid w:val="00622CCC"/>
    <w:rsid w:val="00623252"/>
    <w:rsid w:val="00623F80"/>
    <w:rsid w:val="0062427E"/>
    <w:rsid w:val="006243D9"/>
    <w:rsid w:val="00624442"/>
    <w:rsid w:val="006247B1"/>
    <w:rsid w:val="00624EE3"/>
    <w:rsid w:val="00625231"/>
    <w:rsid w:val="0062617F"/>
    <w:rsid w:val="0062672E"/>
    <w:rsid w:val="00626D45"/>
    <w:rsid w:val="00627458"/>
    <w:rsid w:val="00627B34"/>
    <w:rsid w:val="00627B4E"/>
    <w:rsid w:val="00630C89"/>
    <w:rsid w:val="006313AA"/>
    <w:rsid w:val="00631700"/>
    <w:rsid w:val="006319A0"/>
    <w:rsid w:val="00632AE3"/>
    <w:rsid w:val="0063303A"/>
    <w:rsid w:val="006330C2"/>
    <w:rsid w:val="006337C1"/>
    <w:rsid w:val="00634028"/>
    <w:rsid w:val="00634392"/>
    <w:rsid w:val="006348F1"/>
    <w:rsid w:val="006350D3"/>
    <w:rsid w:val="006359A2"/>
    <w:rsid w:val="00636EF1"/>
    <w:rsid w:val="00636FD4"/>
    <w:rsid w:val="00637D93"/>
    <w:rsid w:val="00637DFC"/>
    <w:rsid w:val="00637E54"/>
    <w:rsid w:val="006404F3"/>
    <w:rsid w:val="00640B87"/>
    <w:rsid w:val="006412F9"/>
    <w:rsid w:val="006415E1"/>
    <w:rsid w:val="0064173A"/>
    <w:rsid w:val="006432AD"/>
    <w:rsid w:val="00643954"/>
    <w:rsid w:val="00643F69"/>
    <w:rsid w:val="006444F9"/>
    <w:rsid w:val="00644A17"/>
    <w:rsid w:val="00644D2A"/>
    <w:rsid w:val="006454B1"/>
    <w:rsid w:val="00646609"/>
    <w:rsid w:val="00646AE0"/>
    <w:rsid w:val="00646DE0"/>
    <w:rsid w:val="00646E6B"/>
    <w:rsid w:val="006478A4"/>
    <w:rsid w:val="00647D3C"/>
    <w:rsid w:val="0065044E"/>
    <w:rsid w:val="00650591"/>
    <w:rsid w:val="00651349"/>
    <w:rsid w:val="00652A8D"/>
    <w:rsid w:val="00652ED5"/>
    <w:rsid w:val="006544F1"/>
    <w:rsid w:val="006557AE"/>
    <w:rsid w:val="00655853"/>
    <w:rsid w:val="0065645C"/>
    <w:rsid w:val="0065668E"/>
    <w:rsid w:val="0065735B"/>
    <w:rsid w:val="00657402"/>
    <w:rsid w:val="00657688"/>
    <w:rsid w:val="00657B05"/>
    <w:rsid w:val="00657C19"/>
    <w:rsid w:val="00657D59"/>
    <w:rsid w:val="00660E11"/>
    <w:rsid w:val="00661B2C"/>
    <w:rsid w:val="006632F8"/>
    <w:rsid w:val="00663576"/>
    <w:rsid w:val="0066357F"/>
    <w:rsid w:val="006636DA"/>
    <w:rsid w:val="00663F2B"/>
    <w:rsid w:val="00664281"/>
    <w:rsid w:val="006642FC"/>
    <w:rsid w:val="0066443A"/>
    <w:rsid w:val="00665405"/>
    <w:rsid w:val="00665C6D"/>
    <w:rsid w:val="00665D83"/>
    <w:rsid w:val="00665EFD"/>
    <w:rsid w:val="00666164"/>
    <w:rsid w:val="006663A2"/>
    <w:rsid w:val="0066680F"/>
    <w:rsid w:val="00666B97"/>
    <w:rsid w:val="00667356"/>
    <w:rsid w:val="00670287"/>
    <w:rsid w:val="00670568"/>
    <w:rsid w:val="00671065"/>
    <w:rsid w:val="006713D5"/>
    <w:rsid w:val="00671723"/>
    <w:rsid w:val="00671F24"/>
    <w:rsid w:val="006723CC"/>
    <w:rsid w:val="00672432"/>
    <w:rsid w:val="00672DB5"/>
    <w:rsid w:val="00673170"/>
    <w:rsid w:val="006738AF"/>
    <w:rsid w:val="00674788"/>
    <w:rsid w:val="00675166"/>
    <w:rsid w:val="00676322"/>
    <w:rsid w:val="00676BD5"/>
    <w:rsid w:val="00677926"/>
    <w:rsid w:val="00677B4F"/>
    <w:rsid w:val="00680814"/>
    <w:rsid w:val="00680BA8"/>
    <w:rsid w:val="006826AB"/>
    <w:rsid w:val="0068319B"/>
    <w:rsid w:val="006831B7"/>
    <w:rsid w:val="00683F36"/>
    <w:rsid w:val="00684C8D"/>
    <w:rsid w:val="00684F5F"/>
    <w:rsid w:val="006852D2"/>
    <w:rsid w:val="00685CDF"/>
    <w:rsid w:val="0068638F"/>
    <w:rsid w:val="00686397"/>
    <w:rsid w:val="00686B7F"/>
    <w:rsid w:val="00686BF3"/>
    <w:rsid w:val="00686D9D"/>
    <w:rsid w:val="00687ABC"/>
    <w:rsid w:val="00687ED9"/>
    <w:rsid w:val="00690DCB"/>
    <w:rsid w:val="00690ED5"/>
    <w:rsid w:val="0069136B"/>
    <w:rsid w:val="006916E0"/>
    <w:rsid w:val="0069190B"/>
    <w:rsid w:val="00691B33"/>
    <w:rsid w:val="00691B55"/>
    <w:rsid w:val="00691CBA"/>
    <w:rsid w:val="00692114"/>
    <w:rsid w:val="006950B7"/>
    <w:rsid w:val="00695341"/>
    <w:rsid w:val="00696A9F"/>
    <w:rsid w:val="00696E6B"/>
    <w:rsid w:val="00696E8B"/>
    <w:rsid w:val="0069711F"/>
    <w:rsid w:val="00697B45"/>
    <w:rsid w:val="006A0076"/>
    <w:rsid w:val="006A0771"/>
    <w:rsid w:val="006A0B25"/>
    <w:rsid w:val="006A16C9"/>
    <w:rsid w:val="006A2A9B"/>
    <w:rsid w:val="006A2FF3"/>
    <w:rsid w:val="006A3A9C"/>
    <w:rsid w:val="006A40CE"/>
    <w:rsid w:val="006A4EE0"/>
    <w:rsid w:val="006A5553"/>
    <w:rsid w:val="006A5795"/>
    <w:rsid w:val="006A5CC7"/>
    <w:rsid w:val="006A6318"/>
    <w:rsid w:val="006A7A6D"/>
    <w:rsid w:val="006A7BC1"/>
    <w:rsid w:val="006A7DB8"/>
    <w:rsid w:val="006B05C3"/>
    <w:rsid w:val="006B0650"/>
    <w:rsid w:val="006B102D"/>
    <w:rsid w:val="006B1598"/>
    <w:rsid w:val="006B16C0"/>
    <w:rsid w:val="006B1F34"/>
    <w:rsid w:val="006B2329"/>
    <w:rsid w:val="006B235C"/>
    <w:rsid w:val="006B30F0"/>
    <w:rsid w:val="006B33BB"/>
    <w:rsid w:val="006B3C2B"/>
    <w:rsid w:val="006B4C43"/>
    <w:rsid w:val="006B6475"/>
    <w:rsid w:val="006B737B"/>
    <w:rsid w:val="006B7580"/>
    <w:rsid w:val="006B784D"/>
    <w:rsid w:val="006B7C2D"/>
    <w:rsid w:val="006C026C"/>
    <w:rsid w:val="006C049C"/>
    <w:rsid w:val="006C0F18"/>
    <w:rsid w:val="006C123E"/>
    <w:rsid w:val="006C194F"/>
    <w:rsid w:val="006C2867"/>
    <w:rsid w:val="006C3DC5"/>
    <w:rsid w:val="006C4BA7"/>
    <w:rsid w:val="006C4C54"/>
    <w:rsid w:val="006C4DD6"/>
    <w:rsid w:val="006C5820"/>
    <w:rsid w:val="006C5899"/>
    <w:rsid w:val="006C6550"/>
    <w:rsid w:val="006C667B"/>
    <w:rsid w:val="006C66B9"/>
    <w:rsid w:val="006C6D58"/>
    <w:rsid w:val="006C7694"/>
    <w:rsid w:val="006D1903"/>
    <w:rsid w:val="006D20B0"/>
    <w:rsid w:val="006D2164"/>
    <w:rsid w:val="006D2392"/>
    <w:rsid w:val="006D28FF"/>
    <w:rsid w:val="006D2AFE"/>
    <w:rsid w:val="006D2EAA"/>
    <w:rsid w:val="006D302B"/>
    <w:rsid w:val="006D3966"/>
    <w:rsid w:val="006D4631"/>
    <w:rsid w:val="006D504B"/>
    <w:rsid w:val="006D504C"/>
    <w:rsid w:val="006D5788"/>
    <w:rsid w:val="006D58C2"/>
    <w:rsid w:val="006D59F5"/>
    <w:rsid w:val="006D5E41"/>
    <w:rsid w:val="006D5E6B"/>
    <w:rsid w:val="006D6320"/>
    <w:rsid w:val="006D6717"/>
    <w:rsid w:val="006D75E6"/>
    <w:rsid w:val="006D7E9F"/>
    <w:rsid w:val="006E0BA3"/>
    <w:rsid w:val="006E1405"/>
    <w:rsid w:val="006E140A"/>
    <w:rsid w:val="006E162B"/>
    <w:rsid w:val="006E1CB7"/>
    <w:rsid w:val="006E2301"/>
    <w:rsid w:val="006E2708"/>
    <w:rsid w:val="006E3327"/>
    <w:rsid w:val="006E3892"/>
    <w:rsid w:val="006E6172"/>
    <w:rsid w:val="006E642A"/>
    <w:rsid w:val="006E6627"/>
    <w:rsid w:val="006E6BD6"/>
    <w:rsid w:val="006E7284"/>
    <w:rsid w:val="006E7AB9"/>
    <w:rsid w:val="006F029B"/>
    <w:rsid w:val="006F04A1"/>
    <w:rsid w:val="006F05D6"/>
    <w:rsid w:val="006F1055"/>
    <w:rsid w:val="006F122F"/>
    <w:rsid w:val="006F1488"/>
    <w:rsid w:val="006F17EF"/>
    <w:rsid w:val="006F1B60"/>
    <w:rsid w:val="006F2049"/>
    <w:rsid w:val="006F2227"/>
    <w:rsid w:val="006F2C61"/>
    <w:rsid w:val="006F2E93"/>
    <w:rsid w:val="006F30E9"/>
    <w:rsid w:val="006F3348"/>
    <w:rsid w:val="006F42F4"/>
    <w:rsid w:val="006F4719"/>
    <w:rsid w:val="006F48FF"/>
    <w:rsid w:val="006F5640"/>
    <w:rsid w:val="006F5BC0"/>
    <w:rsid w:val="006F6360"/>
    <w:rsid w:val="006F7532"/>
    <w:rsid w:val="006F79EE"/>
    <w:rsid w:val="006F7C4A"/>
    <w:rsid w:val="00700309"/>
    <w:rsid w:val="007007D6"/>
    <w:rsid w:val="00700EC6"/>
    <w:rsid w:val="00701404"/>
    <w:rsid w:val="007016A9"/>
    <w:rsid w:val="0070225F"/>
    <w:rsid w:val="00702554"/>
    <w:rsid w:val="007027B1"/>
    <w:rsid w:val="0070437C"/>
    <w:rsid w:val="007044FB"/>
    <w:rsid w:val="00704D80"/>
    <w:rsid w:val="007060A3"/>
    <w:rsid w:val="00707487"/>
    <w:rsid w:val="00707E21"/>
    <w:rsid w:val="00711A04"/>
    <w:rsid w:val="007121E3"/>
    <w:rsid w:val="007132DB"/>
    <w:rsid w:val="007154A6"/>
    <w:rsid w:val="00716524"/>
    <w:rsid w:val="00716751"/>
    <w:rsid w:val="00716AAE"/>
    <w:rsid w:val="00717128"/>
    <w:rsid w:val="00717768"/>
    <w:rsid w:val="00717C30"/>
    <w:rsid w:val="00717E0A"/>
    <w:rsid w:val="007200D7"/>
    <w:rsid w:val="007203FA"/>
    <w:rsid w:val="0072117B"/>
    <w:rsid w:val="007218D5"/>
    <w:rsid w:val="00722194"/>
    <w:rsid w:val="00722359"/>
    <w:rsid w:val="007227C6"/>
    <w:rsid w:val="0072357A"/>
    <w:rsid w:val="00724A0B"/>
    <w:rsid w:val="00724E2A"/>
    <w:rsid w:val="00724E48"/>
    <w:rsid w:val="00724F41"/>
    <w:rsid w:val="00725CA0"/>
    <w:rsid w:val="00725CF7"/>
    <w:rsid w:val="00726B61"/>
    <w:rsid w:val="00726F1B"/>
    <w:rsid w:val="007270CF"/>
    <w:rsid w:val="00727B5E"/>
    <w:rsid w:val="00730599"/>
    <w:rsid w:val="007305F8"/>
    <w:rsid w:val="00730AE7"/>
    <w:rsid w:val="00730DD6"/>
    <w:rsid w:val="007317D6"/>
    <w:rsid w:val="007329CF"/>
    <w:rsid w:val="0073308B"/>
    <w:rsid w:val="00734E46"/>
    <w:rsid w:val="007358E4"/>
    <w:rsid w:val="007359A6"/>
    <w:rsid w:val="00736552"/>
    <w:rsid w:val="007373C1"/>
    <w:rsid w:val="0073775A"/>
    <w:rsid w:val="0074011B"/>
    <w:rsid w:val="007401FB"/>
    <w:rsid w:val="00740438"/>
    <w:rsid w:val="00740863"/>
    <w:rsid w:val="00740EC2"/>
    <w:rsid w:val="007410E0"/>
    <w:rsid w:val="00741121"/>
    <w:rsid w:val="0074182A"/>
    <w:rsid w:val="00742A0E"/>
    <w:rsid w:val="00742B8E"/>
    <w:rsid w:val="00742BC8"/>
    <w:rsid w:val="007430E6"/>
    <w:rsid w:val="007434D5"/>
    <w:rsid w:val="00743F39"/>
    <w:rsid w:val="00745A14"/>
    <w:rsid w:val="00745B83"/>
    <w:rsid w:val="00746A96"/>
    <w:rsid w:val="00747C03"/>
    <w:rsid w:val="0075063A"/>
    <w:rsid w:val="00751118"/>
    <w:rsid w:val="00751651"/>
    <w:rsid w:val="00751E57"/>
    <w:rsid w:val="007525B4"/>
    <w:rsid w:val="007527CB"/>
    <w:rsid w:val="00752F6E"/>
    <w:rsid w:val="007538B2"/>
    <w:rsid w:val="00754068"/>
    <w:rsid w:val="0075439B"/>
    <w:rsid w:val="00754AA2"/>
    <w:rsid w:val="0075503D"/>
    <w:rsid w:val="00755162"/>
    <w:rsid w:val="007551F3"/>
    <w:rsid w:val="00755312"/>
    <w:rsid w:val="0075632F"/>
    <w:rsid w:val="00756DAD"/>
    <w:rsid w:val="00756DD8"/>
    <w:rsid w:val="00757B11"/>
    <w:rsid w:val="007602B0"/>
    <w:rsid w:val="00760489"/>
    <w:rsid w:val="00760BDC"/>
    <w:rsid w:val="00760CBE"/>
    <w:rsid w:val="00760DE8"/>
    <w:rsid w:val="00761BE8"/>
    <w:rsid w:val="00761D96"/>
    <w:rsid w:val="00762064"/>
    <w:rsid w:val="00762B16"/>
    <w:rsid w:val="00762DCB"/>
    <w:rsid w:val="0076388D"/>
    <w:rsid w:val="0076404D"/>
    <w:rsid w:val="007649F1"/>
    <w:rsid w:val="007655B5"/>
    <w:rsid w:val="00765BF6"/>
    <w:rsid w:val="00765CD5"/>
    <w:rsid w:val="00766459"/>
    <w:rsid w:val="00767EA9"/>
    <w:rsid w:val="00770568"/>
    <w:rsid w:val="0077105A"/>
    <w:rsid w:val="00771166"/>
    <w:rsid w:val="00771315"/>
    <w:rsid w:val="00771322"/>
    <w:rsid w:val="0077160E"/>
    <w:rsid w:val="00771FD1"/>
    <w:rsid w:val="00772D10"/>
    <w:rsid w:val="00773537"/>
    <w:rsid w:val="00773764"/>
    <w:rsid w:val="0077408D"/>
    <w:rsid w:val="007756EC"/>
    <w:rsid w:val="007757B1"/>
    <w:rsid w:val="00776201"/>
    <w:rsid w:val="0077668E"/>
    <w:rsid w:val="00780392"/>
    <w:rsid w:val="007807D9"/>
    <w:rsid w:val="00780839"/>
    <w:rsid w:val="00781ACE"/>
    <w:rsid w:val="00781AD1"/>
    <w:rsid w:val="007824FA"/>
    <w:rsid w:val="00782595"/>
    <w:rsid w:val="00782807"/>
    <w:rsid w:val="007831B1"/>
    <w:rsid w:val="0078415C"/>
    <w:rsid w:val="00784A33"/>
    <w:rsid w:val="00784B56"/>
    <w:rsid w:val="00784BF9"/>
    <w:rsid w:val="00784CF5"/>
    <w:rsid w:val="007859DE"/>
    <w:rsid w:val="00785C64"/>
    <w:rsid w:val="00785CD6"/>
    <w:rsid w:val="007872BF"/>
    <w:rsid w:val="007875CC"/>
    <w:rsid w:val="00787918"/>
    <w:rsid w:val="0078791A"/>
    <w:rsid w:val="00787A2A"/>
    <w:rsid w:val="00787B99"/>
    <w:rsid w:val="00787BCA"/>
    <w:rsid w:val="00790042"/>
    <w:rsid w:val="0079127A"/>
    <w:rsid w:val="00791489"/>
    <w:rsid w:val="007914E0"/>
    <w:rsid w:val="007916AE"/>
    <w:rsid w:val="00791D36"/>
    <w:rsid w:val="00792785"/>
    <w:rsid w:val="00792838"/>
    <w:rsid w:val="00794EBF"/>
    <w:rsid w:val="0079531C"/>
    <w:rsid w:val="007960E5"/>
    <w:rsid w:val="00796490"/>
    <w:rsid w:val="007966D0"/>
    <w:rsid w:val="007967C0"/>
    <w:rsid w:val="00796875"/>
    <w:rsid w:val="007969DA"/>
    <w:rsid w:val="0079713D"/>
    <w:rsid w:val="00797F1B"/>
    <w:rsid w:val="007A17AE"/>
    <w:rsid w:val="007A1CA6"/>
    <w:rsid w:val="007A2262"/>
    <w:rsid w:val="007A292D"/>
    <w:rsid w:val="007A31A8"/>
    <w:rsid w:val="007A32E2"/>
    <w:rsid w:val="007A40E9"/>
    <w:rsid w:val="007A4225"/>
    <w:rsid w:val="007A48C2"/>
    <w:rsid w:val="007A48F9"/>
    <w:rsid w:val="007A541C"/>
    <w:rsid w:val="007A5983"/>
    <w:rsid w:val="007A5A21"/>
    <w:rsid w:val="007A74BE"/>
    <w:rsid w:val="007A7E69"/>
    <w:rsid w:val="007A7FF3"/>
    <w:rsid w:val="007B02C6"/>
    <w:rsid w:val="007B0A91"/>
    <w:rsid w:val="007B10E1"/>
    <w:rsid w:val="007B260C"/>
    <w:rsid w:val="007B2DA5"/>
    <w:rsid w:val="007B2DF2"/>
    <w:rsid w:val="007B30DE"/>
    <w:rsid w:val="007B311E"/>
    <w:rsid w:val="007B36F9"/>
    <w:rsid w:val="007B4554"/>
    <w:rsid w:val="007B4AAB"/>
    <w:rsid w:val="007B577E"/>
    <w:rsid w:val="007B66DD"/>
    <w:rsid w:val="007B686C"/>
    <w:rsid w:val="007B707C"/>
    <w:rsid w:val="007B70BC"/>
    <w:rsid w:val="007C147C"/>
    <w:rsid w:val="007C1B06"/>
    <w:rsid w:val="007C2540"/>
    <w:rsid w:val="007C27C7"/>
    <w:rsid w:val="007C2879"/>
    <w:rsid w:val="007C30CB"/>
    <w:rsid w:val="007C333F"/>
    <w:rsid w:val="007C3572"/>
    <w:rsid w:val="007C37AB"/>
    <w:rsid w:val="007C4515"/>
    <w:rsid w:val="007C45CA"/>
    <w:rsid w:val="007C48E0"/>
    <w:rsid w:val="007C4A91"/>
    <w:rsid w:val="007C5890"/>
    <w:rsid w:val="007C6ECB"/>
    <w:rsid w:val="007C6F1D"/>
    <w:rsid w:val="007D1598"/>
    <w:rsid w:val="007D21B1"/>
    <w:rsid w:val="007D2213"/>
    <w:rsid w:val="007D270E"/>
    <w:rsid w:val="007D2F77"/>
    <w:rsid w:val="007D3108"/>
    <w:rsid w:val="007D3F0C"/>
    <w:rsid w:val="007D43BD"/>
    <w:rsid w:val="007D5656"/>
    <w:rsid w:val="007D5764"/>
    <w:rsid w:val="007D659D"/>
    <w:rsid w:val="007D777A"/>
    <w:rsid w:val="007E01CD"/>
    <w:rsid w:val="007E0E46"/>
    <w:rsid w:val="007E12D0"/>
    <w:rsid w:val="007E1CCB"/>
    <w:rsid w:val="007E2D95"/>
    <w:rsid w:val="007E3471"/>
    <w:rsid w:val="007E3504"/>
    <w:rsid w:val="007E3516"/>
    <w:rsid w:val="007E377B"/>
    <w:rsid w:val="007E3DD1"/>
    <w:rsid w:val="007E455B"/>
    <w:rsid w:val="007E4DDB"/>
    <w:rsid w:val="007E4F92"/>
    <w:rsid w:val="007E5439"/>
    <w:rsid w:val="007E565C"/>
    <w:rsid w:val="007E5F04"/>
    <w:rsid w:val="007F067A"/>
    <w:rsid w:val="007F17AB"/>
    <w:rsid w:val="007F1D27"/>
    <w:rsid w:val="007F23CB"/>
    <w:rsid w:val="007F2496"/>
    <w:rsid w:val="007F2C21"/>
    <w:rsid w:val="007F34B1"/>
    <w:rsid w:val="007F3CD4"/>
    <w:rsid w:val="007F3F6C"/>
    <w:rsid w:val="007F4853"/>
    <w:rsid w:val="007F518A"/>
    <w:rsid w:val="007F53A7"/>
    <w:rsid w:val="007F6518"/>
    <w:rsid w:val="007F6B51"/>
    <w:rsid w:val="007F7413"/>
    <w:rsid w:val="007F74DF"/>
    <w:rsid w:val="008006F7"/>
    <w:rsid w:val="00800E40"/>
    <w:rsid w:val="00801C72"/>
    <w:rsid w:val="00801EAF"/>
    <w:rsid w:val="008023FD"/>
    <w:rsid w:val="00803466"/>
    <w:rsid w:val="008039F7"/>
    <w:rsid w:val="00803D27"/>
    <w:rsid w:val="00804A97"/>
    <w:rsid w:val="00804D6B"/>
    <w:rsid w:val="00805F0E"/>
    <w:rsid w:val="00806137"/>
    <w:rsid w:val="0080699D"/>
    <w:rsid w:val="00806E43"/>
    <w:rsid w:val="00810A20"/>
    <w:rsid w:val="00810C6B"/>
    <w:rsid w:val="0081190E"/>
    <w:rsid w:val="00813440"/>
    <w:rsid w:val="008139E9"/>
    <w:rsid w:val="00813A97"/>
    <w:rsid w:val="00813AC6"/>
    <w:rsid w:val="00814468"/>
    <w:rsid w:val="00815884"/>
    <w:rsid w:val="00816250"/>
    <w:rsid w:val="008169BE"/>
    <w:rsid w:val="0081781C"/>
    <w:rsid w:val="008202FD"/>
    <w:rsid w:val="00822581"/>
    <w:rsid w:val="00822AF7"/>
    <w:rsid w:val="00823187"/>
    <w:rsid w:val="0082437E"/>
    <w:rsid w:val="00824BCA"/>
    <w:rsid w:val="00825197"/>
    <w:rsid w:val="008270CC"/>
    <w:rsid w:val="0083011C"/>
    <w:rsid w:val="00830401"/>
    <w:rsid w:val="00830897"/>
    <w:rsid w:val="00831DDB"/>
    <w:rsid w:val="0083207E"/>
    <w:rsid w:val="008327E9"/>
    <w:rsid w:val="00832D4F"/>
    <w:rsid w:val="00832E95"/>
    <w:rsid w:val="00832EC2"/>
    <w:rsid w:val="0083560D"/>
    <w:rsid w:val="008356E0"/>
    <w:rsid w:val="008374B1"/>
    <w:rsid w:val="008376EC"/>
    <w:rsid w:val="00841123"/>
    <w:rsid w:val="0084174C"/>
    <w:rsid w:val="00841A39"/>
    <w:rsid w:val="00841BC7"/>
    <w:rsid w:val="008437B1"/>
    <w:rsid w:val="0084446E"/>
    <w:rsid w:val="00844F08"/>
    <w:rsid w:val="0084545C"/>
    <w:rsid w:val="0084650F"/>
    <w:rsid w:val="008465AF"/>
    <w:rsid w:val="00847013"/>
    <w:rsid w:val="00847A2F"/>
    <w:rsid w:val="00847C1E"/>
    <w:rsid w:val="008508EF"/>
    <w:rsid w:val="00850E79"/>
    <w:rsid w:val="00851065"/>
    <w:rsid w:val="00851F53"/>
    <w:rsid w:val="00851F87"/>
    <w:rsid w:val="00852239"/>
    <w:rsid w:val="0085232B"/>
    <w:rsid w:val="00852DCA"/>
    <w:rsid w:val="008538AB"/>
    <w:rsid w:val="008542BB"/>
    <w:rsid w:val="00855787"/>
    <w:rsid w:val="00855BD8"/>
    <w:rsid w:val="008567D7"/>
    <w:rsid w:val="00856DFA"/>
    <w:rsid w:val="00857608"/>
    <w:rsid w:val="008578F1"/>
    <w:rsid w:val="00857D60"/>
    <w:rsid w:val="0086060E"/>
    <w:rsid w:val="00861399"/>
    <w:rsid w:val="008625AE"/>
    <w:rsid w:val="00862654"/>
    <w:rsid w:val="00865314"/>
    <w:rsid w:val="00865445"/>
    <w:rsid w:val="00865AD5"/>
    <w:rsid w:val="00867374"/>
    <w:rsid w:val="008720D2"/>
    <w:rsid w:val="0087229A"/>
    <w:rsid w:val="0087242E"/>
    <w:rsid w:val="008728FD"/>
    <w:rsid w:val="008741E9"/>
    <w:rsid w:val="00874495"/>
    <w:rsid w:val="008745F5"/>
    <w:rsid w:val="00874803"/>
    <w:rsid w:val="00874F4A"/>
    <w:rsid w:val="008753D2"/>
    <w:rsid w:val="0087574B"/>
    <w:rsid w:val="008757CE"/>
    <w:rsid w:val="00875E86"/>
    <w:rsid w:val="008764F6"/>
    <w:rsid w:val="0087683A"/>
    <w:rsid w:val="0087694B"/>
    <w:rsid w:val="00876A63"/>
    <w:rsid w:val="00880294"/>
    <w:rsid w:val="00881581"/>
    <w:rsid w:val="008825A1"/>
    <w:rsid w:val="00882A21"/>
    <w:rsid w:val="00883A0A"/>
    <w:rsid w:val="00884916"/>
    <w:rsid w:val="0088507F"/>
    <w:rsid w:val="00885802"/>
    <w:rsid w:val="00885A57"/>
    <w:rsid w:val="00885F64"/>
    <w:rsid w:val="00886F43"/>
    <w:rsid w:val="00887598"/>
    <w:rsid w:val="00887645"/>
    <w:rsid w:val="008879DE"/>
    <w:rsid w:val="008903C0"/>
    <w:rsid w:val="008905A6"/>
    <w:rsid w:val="00890C83"/>
    <w:rsid w:val="0089168A"/>
    <w:rsid w:val="008916BB"/>
    <w:rsid w:val="008918FA"/>
    <w:rsid w:val="00894341"/>
    <w:rsid w:val="0089436C"/>
    <w:rsid w:val="00894A8C"/>
    <w:rsid w:val="0089566D"/>
    <w:rsid w:val="0089614C"/>
    <w:rsid w:val="0089634D"/>
    <w:rsid w:val="0089651A"/>
    <w:rsid w:val="0089761E"/>
    <w:rsid w:val="008979BE"/>
    <w:rsid w:val="008A02C6"/>
    <w:rsid w:val="008A0985"/>
    <w:rsid w:val="008A0B17"/>
    <w:rsid w:val="008A119E"/>
    <w:rsid w:val="008A1E32"/>
    <w:rsid w:val="008A1EFD"/>
    <w:rsid w:val="008A296D"/>
    <w:rsid w:val="008A2A59"/>
    <w:rsid w:val="008A2C10"/>
    <w:rsid w:val="008A3531"/>
    <w:rsid w:val="008A3B38"/>
    <w:rsid w:val="008A406A"/>
    <w:rsid w:val="008A4478"/>
    <w:rsid w:val="008A4486"/>
    <w:rsid w:val="008A4AE1"/>
    <w:rsid w:val="008A4B5B"/>
    <w:rsid w:val="008A6B24"/>
    <w:rsid w:val="008A7270"/>
    <w:rsid w:val="008A7DD1"/>
    <w:rsid w:val="008B0932"/>
    <w:rsid w:val="008B143F"/>
    <w:rsid w:val="008B1695"/>
    <w:rsid w:val="008B26A9"/>
    <w:rsid w:val="008B2B57"/>
    <w:rsid w:val="008B2B80"/>
    <w:rsid w:val="008B2B87"/>
    <w:rsid w:val="008B2E7D"/>
    <w:rsid w:val="008B2FDB"/>
    <w:rsid w:val="008B396E"/>
    <w:rsid w:val="008B44D2"/>
    <w:rsid w:val="008B4E98"/>
    <w:rsid w:val="008B607F"/>
    <w:rsid w:val="008B60AE"/>
    <w:rsid w:val="008B687A"/>
    <w:rsid w:val="008B6A43"/>
    <w:rsid w:val="008C018A"/>
    <w:rsid w:val="008C0370"/>
    <w:rsid w:val="008C075F"/>
    <w:rsid w:val="008C12FB"/>
    <w:rsid w:val="008C23C3"/>
    <w:rsid w:val="008C2701"/>
    <w:rsid w:val="008C4FB4"/>
    <w:rsid w:val="008C571E"/>
    <w:rsid w:val="008C69D6"/>
    <w:rsid w:val="008C6D45"/>
    <w:rsid w:val="008C6FD6"/>
    <w:rsid w:val="008C752E"/>
    <w:rsid w:val="008C781C"/>
    <w:rsid w:val="008D0C5D"/>
    <w:rsid w:val="008D0EB8"/>
    <w:rsid w:val="008D1C3D"/>
    <w:rsid w:val="008D1E3C"/>
    <w:rsid w:val="008D322F"/>
    <w:rsid w:val="008D36DC"/>
    <w:rsid w:val="008D3D7E"/>
    <w:rsid w:val="008D4484"/>
    <w:rsid w:val="008D44DD"/>
    <w:rsid w:val="008D45EB"/>
    <w:rsid w:val="008D587D"/>
    <w:rsid w:val="008D5DF3"/>
    <w:rsid w:val="008D6616"/>
    <w:rsid w:val="008D6948"/>
    <w:rsid w:val="008D6BBE"/>
    <w:rsid w:val="008D6C91"/>
    <w:rsid w:val="008D74F1"/>
    <w:rsid w:val="008D7E88"/>
    <w:rsid w:val="008E0526"/>
    <w:rsid w:val="008E0A37"/>
    <w:rsid w:val="008E1513"/>
    <w:rsid w:val="008E161F"/>
    <w:rsid w:val="008E16DE"/>
    <w:rsid w:val="008E1A73"/>
    <w:rsid w:val="008E2B09"/>
    <w:rsid w:val="008E2F4E"/>
    <w:rsid w:val="008E41DB"/>
    <w:rsid w:val="008E442D"/>
    <w:rsid w:val="008E4FE2"/>
    <w:rsid w:val="008E5988"/>
    <w:rsid w:val="008E6897"/>
    <w:rsid w:val="008E7685"/>
    <w:rsid w:val="008E7F9B"/>
    <w:rsid w:val="008F00C4"/>
    <w:rsid w:val="008F0581"/>
    <w:rsid w:val="008F0AE4"/>
    <w:rsid w:val="008F0B90"/>
    <w:rsid w:val="008F1593"/>
    <w:rsid w:val="008F16B1"/>
    <w:rsid w:val="008F1A67"/>
    <w:rsid w:val="008F1D78"/>
    <w:rsid w:val="008F259E"/>
    <w:rsid w:val="008F2668"/>
    <w:rsid w:val="008F2940"/>
    <w:rsid w:val="008F363D"/>
    <w:rsid w:val="008F3B82"/>
    <w:rsid w:val="008F3D3D"/>
    <w:rsid w:val="008F4C0B"/>
    <w:rsid w:val="008F574D"/>
    <w:rsid w:val="008F5AE4"/>
    <w:rsid w:val="008F624F"/>
    <w:rsid w:val="008F655E"/>
    <w:rsid w:val="008F6829"/>
    <w:rsid w:val="008F7B61"/>
    <w:rsid w:val="008F7BBC"/>
    <w:rsid w:val="00901203"/>
    <w:rsid w:val="00901CAA"/>
    <w:rsid w:val="00902088"/>
    <w:rsid w:val="00902633"/>
    <w:rsid w:val="00903321"/>
    <w:rsid w:val="00903735"/>
    <w:rsid w:val="009047CB"/>
    <w:rsid w:val="00904B43"/>
    <w:rsid w:val="00904EC6"/>
    <w:rsid w:val="0090568E"/>
    <w:rsid w:val="00906CAE"/>
    <w:rsid w:val="00907042"/>
    <w:rsid w:val="00910574"/>
    <w:rsid w:val="009105DC"/>
    <w:rsid w:val="0091084A"/>
    <w:rsid w:val="00910AED"/>
    <w:rsid w:val="00911190"/>
    <w:rsid w:val="00911AA4"/>
    <w:rsid w:val="009147E4"/>
    <w:rsid w:val="0091576F"/>
    <w:rsid w:val="009168ED"/>
    <w:rsid w:val="00916E2C"/>
    <w:rsid w:val="00916EA5"/>
    <w:rsid w:val="00916F2C"/>
    <w:rsid w:val="00916F77"/>
    <w:rsid w:val="0091787C"/>
    <w:rsid w:val="00920D6E"/>
    <w:rsid w:val="009220A9"/>
    <w:rsid w:val="00922103"/>
    <w:rsid w:val="0092247E"/>
    <w:rsid w:val="0092282C"/>
    <w:rsid w:val="009228AD"/>
    <w:rsid w:val="009228C3"/>
    <w:rsid w:val="00922CEC"/>
    <w:rsid w:val="00922D41"/>
    <w:rsid w:val="00923641"/>
    <w:rsid w:val="00923736"/>
    <w:rsid w:val="00924128"/>
    <w:rsid w:val="00924645"/>
    <w:rsid w:val="00926E29"/>
    <w:rsid w:val="00927D37"/>
    <w:rsid w:val="00927F22"/>
    <w:rsid w:val="00927F3D"/>
    <w:rsid w:val="00930694"/>
    <w:rsid w:val="0093078B"/>
    <w:rsid w:val="00930F2C"/>
    <w:rsid w:val="0093185B"/>
    <w:rsid w:val="00931A86"/>
    <w:rsid w:val="00931E51"/>
    <w:rsid w:val="00931F06"/>
    <w:rsid w:val="00931F95"/>
    <w:rsid w:val="0093203B"/>
    <w:rsid w:val="0093239E"/>
    <w:rsid w:val="00933901"/>
    <w:rsid w:val="009339B3"/>
    <w:rsid w:val="00933C0F"/>
    <w:rsid w:val="00934984"/>
    <w:rsid w:val="00935D26"/>
    <w:rsid w:val="00936C2C"/>
    <w:rsid w:val="00937311"/>
    <w:rsid w:val="009405CC"/>
    <w:rsid w:val="00941077"/>
    <w:rsid w:val="00941487"/>
    <w:rsid w:val="009422BC"/>
    <w:rsid w:val="009422E1"/>
    <w:rsid w:val="00943340"/>
    <w:rsid w:val="00943341"/>
    <w:rsid w:val="009438AC"/>
    <w:rsid w:val="00943B47"/>
    <w:rsid w:val="0094482E"/>
    <w:rsid w:val="00944A6C"/>
    <w:rsid w:val="00944FE4"/>
    <w:rsid w:val="00945286"/>
    <w:rsid w:val="009459B8"/>
    <w:rsid w:val="00945A4A"/>
    <w:rsid w:val="00945A5C"/>
    <w:rsid w:val="00945CA0"/>
    <w:rsid w:val="00945FD1"/>
    <w:rsid w:val="009467CC"/>
    <w:rsid w:val="00946DE3"/>
    <w:rsid w:val="00946DFF"/>
    <w:rsid w:val="00947119"/>
    <w:rsid w:val="00947387"/>
    <w:rsid w:val="00947469"/>
    <w:rsid w:val="009501AD"/>
    <w:rsid w:val="0095074D"/>
    <w:rsid w:val="00950D13"/>
    <w:rsid w:val="00950F8D"/>
    <w:rsid w:val="00951C3C"/>
    <w:rsid w:val="00952562"/>
    <w:rsid w:val="0095286A"/>
    <w:rsid w:val="009531FB"/>
    <w:rsid w:val="00953D9F"/>
    <w:rsid w:val="00954D0F"/>
    <w:rsid w:val="00954F2B"/>
    <w:rsid w:val="009553E2"/>
    <w:rsid w:val="00955B78"/>
    <w:rsid w:val="00956A23"/>
    <w:rsid w:val="00956A85"/>
    <w:rsid w:val="009574BB"/>
    <w:rsid w:val="00957936"/>
    <w:rsid w:val="00957E24"/>
    <w:rsid w:val="00960A05"/>
    <w:rsid w:val="00960AC3"/>
    <w:rsid w:val="00960FBC"/>
    <w:rsid w:val="00961F2F"/>
    <w:rsid w:val="00962AD1"/>
    <w:rsid w:val="0096359B"/>
    <w:rsid w:val="009638CA"/>
    <w:rsid w:val="00963B6C"/>
    <w:rsid w:val="00963BBE"/>
    <w:rsid w:val="0096425C"/>
    <w:rsid w:val="00965C0F"/>
    <w:rsid w:val="00966BB5"/>
    <w:rsid w:val="00966DF7"/>
    <w:rsid w:val="00967410"/>
    <w:rsid w:val="00967C4F"/>
    <w:rsid w:val="00970246"/>
    <w:rsid w:val="00970934"/>
    <w:rsid w:val="009710C5"/>
    <w:rsid w:val="00972518"/>
    <w:rsid w:val="00972CA2"/>
    <w:rsid w:val="00973F3D"/>
    <w:rsid w:val="00974888"/>
    <w:rsid w:val="00974F99"/>
    <w:rsid w:val="00975C2D"/>
    <w:rsid w:val="00976B9E"/>
    <w:rsid w:val="009773B6"/>
    <w:rsid w:val="009803B7"/>
    <w:rsid w:val="00980F0F"/>
    <w:rsid w:val="00981BF1"/>
    <w:rsid w:val="0098217A"/>
    <w:rsid w:val="009823E9"/>
    <w:rsid w:val="00982BEA"/>
    <w:rsid w:val="0098462C"/>
    <w:rsid w:val="00984708"/>
    <w:rsid w:val="0098492C"/>
    <w:rsid w:val="00984AFA"/>
    <w:rsid w:val="00985C24"/>
    <w:rsid w:val="00987C8D"/>
    <w:rsid w:val="009905F0"/>
    <w:rsid w:val="00991769"/>
    <w:rsid w:val="009918B1"/>
    <w:rsid w:val="00991E12"/>
    <w:rsid w:val="00992BC7"/>
    <w:rsid w:val="009942CB"/>
    <w:rsid w:val="00994A28"/>
    <w:rsid w:val="00994D6F"/>
    <w:rsid w:val="0099585B"/>
    <w:rsid w:val="0099603F"/>
    <w:rsid w:val="009974C7"/>
    <w:rsid w:val="0099769E"/>
    <w:rsid w:val="00997CED"/>
    <w:rsid w:val="009A0F14"/>
    <w:rsid w:val="009A0FEF"/>
    <w:rsid w:val="009A2D19"/>
    <w:rsid w:val="009A3342"/>
    <w:rsid w:val="009A3CFE"/>
    <w:rsid w:val="009A54B9"/>
    <w:rsid w:val="009A5586"/>
    <w:rsid w:val="009A57CE"/>
    <w:rsid w:val="009A6691"/>
    <w:rsid w:val="009A6D54"/>
    <w:rsid w:val="009A75B5"/>
    <w:rsid w:val="009A77D0"/>
    <w:rsid w:val="009A7960"/>
    <w:rsid w:val="009B0964"/>
    <w:rsid w:val="009B0AAC"/>
    <w:rsid w:val="009B0C3D"/>
    <w:rsid w:val="009B0CA6"/>
    <w:rsid w:val="009B1AF5"/>
    <w:rsid w:val="009B2566"/>
    <w:rsid w:val="009B25ED"/>
    <w:rsid w:val="009B2842"/>
    <w:rsid w:val="009B2EBA"/>
    <w:rsid w:val="009B30F7"/>
    <w:rsid w:val="009B3FA7"/>
    <w:rsid w:val="009B4852"/>
    <w:rsid w:val="009B493D"/>
    <w:rsid w:val="009B532B"/>
    <w:rsid w:val="009B58F7"/>
    <w:rsid w:val="009B7034"/>
    <w:rsid w:val="009B784C"/>
    <w:rsid w:val="009C0B9D"/>
    <w:rsid w:val="009C1149"/>
    <w:rsid w:val="009C1450"/>
    <w:rsid w:val="009C1DE3"/>
    <w:rsid w:val="009C3AB8"/>
    <w:rsid w:val="009C400E"/>
    <w:rsid w:val="009C41C8"/>
    <w:rsid w:val="009C4746"/>
    <w:rsid w:val="009C488A"/>
    <w:rsid w:val="009C4B6A"/>
    <w:rsid w:val="009C59C0"/>
    <w:rsid w:val="009C603D"/>
    <w:rsid w:val="009C64B2"/>
    <w:rsid w:val="009C6A93"/>
    <w:rsid w:val="009D0B40"/>
    <w:rsid w:val="009D238E"/>
    <w:rsid w:val="009D37E6"/>
    <w:rsid w:val="009D4E3A"/>
    <w:rsid w:val="009D5003"/>
    <w:rsid w:val="009D54F1"/>
    <w:rsid w:val="009D55E7"/>
    <w:rsid w:val="009D5954"/>
    <w:rsid w:val="009D60B5"/>
    <w:rsid w:val="009D6A41"/>
    <w:rsid w:val="009D75CA"/>
    <w:rsid w:val="009E09BC"/>
    <w:rsid w:val="009E0CCD"/>
    <w:rsid w:val="009E1408"/>
    <w:rsid w:val="009E183E"/>
    <w:rsid w:val="009E2E74"/>
    <w:rsid w:val="009E3D4F"/>
    <w:rsid w:val="009E41F3"/>
    <w:rsid w:val="009E423E"/>
    <w:rsid w:val="009E4FE3"/>
    <w:rsid w:val="009E5098"/>
    <w:rsid w:val="009E615D"/>
    <w:rsid w:val="009E65C6"/>
    <w:rsid w:val="009E695E"/>
    <w:rsid w:val="009E76E1"/>
    <w:rsid w:val="009E7846"/>
    <w:rsid w:val="009E7CA6"/>
    <w:rsid w:val="009F071E"/>
    <w:rsid w:val="009F119E"/>
    <w:rsid w:val="009F1847"/>
    <w:rsid w:val="009F3D5D"/>
    <w:rsid w:val="009F3F6B"/>
    <w:rsid w:val="009F447C"/>
    <w:rsid w:val="009F4ED2"/>
    <w:rsid w:val="009F5BC0"/>
    <w:rsid w:val="009F5BD6"/>
    <w:rsid w:val="009F67A3"/>
    <w:rsid w:val="009F6C60"/>
    <w:rsid w:val="009F6CEC"/>
    <w:rsid w:val="009F71A9"/>
    <w:rsid w:val="009F7456"/>
    <w:rsid w:val="009F772B"/>
    <w:rsid w:val="00A00551"/>
    <w:rsid w:val="00A008F7"/>
    <w:rsid w:val="00A00A59"/>
    <w:rsid w:val="00A013B5"/>
    <w:rsid w:val="00A0181B"/>
    <w:rsid w:val="00A020EB"/>
    <w:rsid w:val="00A02135"/>
    <w:rsid w:val="00A0217F"/>
    <w:rsid w:val="00A02754"/>
    <w:rsid w:val="00A02DC3"/>
    <w:rsid w:val="00A030A5"/>
    <w:rsid w:val="00A03A3C"/>
    <w:rsid w:val="00A03E8A"/>
    <w:rsid w:val="00A04192"/>
    <w:rsid w:val="00A04C64"/>
    <w:rsid w:val="00A06881"/>
    <w:rsid w:val="00A0755F"/>
    <w:rsid w:val="00A07CA8"/>
    <w:rsid w:val="00A1026E"/>
    <w:rsid w:val="00A1052A"/>
    <w:rsid w:val="00A10E4B"/>
    <w:rsid w:val="00A10FBA"/>
    <w:rsid w:val="00A111A1"/>
    <w:rsid w:val="00A12D10"/>
    <w:rsid w:val="00A133B0"/>
    <w:rsid w:val="00A137FD"/>
    <w:rsid w:val="00A13E7B"/>
    <w:rsid w:val="00A157C1"/>
    <w:rsid w:val="00A15937"/>
    <w:rsid w:val="00A159EC"/>
    <w:rsid w:val="00A160D2"/>
    <w:rsid w:val="00A168C2"/>
    <w:rsid w:val="00A17419"/>
    <w:rsid w:val="00A17899"/>
    <w:rsid w:val="00A17D9C"/>
    <w:rsid w:val="00A17FAB"/>
    <w:rsid w:val="00A206A7"/>
    <w:rsid w:val="00A20B29"/>
    <w:rsid w:val="00A21C11"/>
    <w:rsid w:val="00A21F5D"/>
    <w:rsid w:val="00A2375D"/>
    <w:rsid w:val="00A23BD0"/>
    <w:rsid w:val="00A26123"/>
    <w:rsid w:val="00A26749"/>
    <w:rsid w:val="00A26797"/>
    <w:rsid w:val="00A26802"/>
    <w:rsid w:val="00A268A7"/>
    <w:rsid w:val="00A2740D"/>
    <w:rsid w:val="00A30D83"/>
    <w:rsid w:val="00A31950"/>
    <w:rsid w:val="00A31C2A"/>
    <w:rsid w:val="00A32312"/>
    <w:rsid w:val="00A3255E"/>
    <w:rsid w:val="00A32F27"/>
    <w:rsid w:val="00A33752"/>
    <w:rsid w:val="00A33F3B"/>
    <w:rsid w:val="00A34DB4"/>
    <w:rsid w:val="00A35E22"/>
    <w:rsid w:val="00A36EC2"/>
    <w:rsid w:val="00A37186"/>
    <w:rsid w:val="00A376E0"/>
    <w:rsid w:val="00A37A99"/>
    <w:rsid w:val="00A37E9C"/>
    <w:rsid w:val="00A40C94"/>
    <w:rsid w:val="00A40FBB"/>
    <w:rsid w:val="00A42028"/>
    <w:rsid w:val="00A42079"/>
    <w:rsid w:val="00A4263B"/>
    <w:rsid w:val="00A43F82"/>
    <w:rsid w:val="00A44061"/>
    <w:rsid w:val="00A454C6"/>
    <w:rsid w:val="00A460F2"/>
    <w:rsid w:val="00A46E1A"/>
    <w:rsid w:val="00A4705B"/>
    <w:rsid w:val="00A4705E"/>
    <w:rsid w:val="00A47158"/>
    <w:rsid w:val="00A50303"/>
    <w:rsid w:val="00A508B4"/>
    <w:rsid w:val="00A50FCF"/>
    <w:rsid w:val="00A517FD"/>
    <w:rsid w:val="00A51863"/>
    <w:rsid w:val="00A51A4D"/>
    <w:rsid w:val="00A51AE6"/>
    <w:rsid w:val="00A5208A"/>
    <w:rsid w:val="00A53388"/>
    <w:rsid w:val="00A534D0"/>
    <w:rsid w:val="00A535D0"/>
    <w:rsid w:val="00A53DAB"/>
    <w:rsid w:val="00A55B85"/>
    <w:rsid w:val="00A56410"/>
    <w:rsid w:val="00A56FE6"/>
    <w:rsid w:val="00A60722"/>
    <w:rsid w:val="00A60C6D"/>
    <w:rsid w:val="00A6135B"/>
    <w:rsid w:val="00A6139B"/>
    <w:rsid w:val="00A61C85"/>
    <w:rsid w:val="00A61FF4"/>
    <w:rsid w:val="00A6200C"/>
    <w:rsid w:val="00A6224B"/>
    <w:rsid w:val="00A627AB"/>
    <w:rsid w:val="00A63368"/>
    <w:rsid w:val="00A6375F"/>
    <w:rsid w:val="00A64045"/>
    <w:rsid w:val="00A643EF"/>
    <w:rsid w:val="00A6482F"/>
    <w:rsid w:val="00A65279"/>
    <w:rsid w:val="00A6624A"/>
    <w:rsid w:val="00A66A2F"/>
    <w:rsid w:val="00A671EF"/>
    <w:rsid w:val="00A676B0"/>
    <w:rsid w:val="00A70F1D"/>
    <w:rsid w:val="00A713AE"/>
    <w:rsid w:val="00A719FF"/>
    <w:rsid w:val="00A72256"/>
    <w:rsid w:val="00A72793"/>
    <w:rsid w:val="00A73CE8"/>
    <w:rsid w:val="00A746C0"/>
    <w:rsid w:val="00A74C5B"/>
    <w:rsid w:val="00A7525C"/>
    <w:rsid w:val="00A75963"/>
    <w:rsid w:val="00A75CA6"/>
    <w:rsid w:val="00A76144"/>
    <w:rsid w:val="00A761BA"/>
    <w:rsid w:val="00A76F24"/>
    <w:rsid w:val="00A76F92"/>
    <w:rsid w:val="00A777C6"/>
    <w:rsid w:val="00A800F9"/>
    <w:rsid w:val="00A80F10"/>
    <w:rsid w:val="00A80F66"/>
    <w:rsid w:val="00A8150F"/>
    <w:rsid w:val="00A81568"/>
    <w:rsid w:val="00A81B9F"/>
    <w:rsid w:val="00A81E22"/>
    <w:rsid w:val="00A820AE"/>
    <w:rsid w:val="00A824FE"/>
    <w:rsid w:val="00A83BB4"/>
    <w:rsid w:val="00A84662"/>
    <w:rsid w:val="00A84EB4"/>
    <w:rsid w:val="00A854F0"/>
    <w:rsid w:val="00A85EE5"/>
    <w:rsid w:val="00A8698F"/>
    <w:rsid w:val="00A87F38"/>
    <w:rsid w:val="00A902DE"/>
    <w:rsid w:val="00A90A77"/>
    <w:rsid w:val="00A91125"/>
    <w:rsid w:val="00A922AD"/>
    <w:rsid w:val="00A9297B"/>
    <w:rsid w:val="00A93171"/>
    <w:rsid w:val="00A9373B"/>
    <w:rsid w:val="00A94AD6"/>
    <w:rsid w:val="00A952A2"/>
    <w:rsid w:val="00A95E29"/>
    <w:rsid w:val="00A9778E"/>
    <w:rsid w:val="00AA1119"/>
    <w:rsid w:val="00AA1ABF"/>
    <w:rsid w:val="00AA277B"/>
    <w:rsid w:val="00AA2F1A"/>
    <w:rsid w:val="00AA353D"/>
    <w:rsid w:val="00AA39E2"/>
    <w:rsid w:val="00AA3AC6"/>
    <w:rsid w:val="00AA47C4"/>
    <w:rsid w:val="00AA50D8"/>
    <w:rsid w:val="00AA75BD"/>
    <w:rsid w:val="00AA7EF6"/>
    <w:rsid w:val="00AB0230"/>
    <w:rsid w:val="00AB0790"/>
    <w:rsid w:val="00AB1141"/>
    <w:rsid w:val="00AB1A8E"/>
    <w:rsid w:val="00AB200F"/>
    <w:rsid w:val="00AB231D"/>
    <w:rsid w:val="00AB238D"/>
    <w:rsid w:val="00AB329A"/>
    <w:rsid w:val="00AB3DEB"/>
    <w:rsid w:val="00AB4E6E"/>
    <w:rsid w:val="00AB57AF"/>
    <w:rsid w:val="00AB5ABF"/>
    <w:rsid w:val="00AB65CD"/>
    <w:rsid w:val="00AB678D"/>
    <w:rsid w:val="00AB78D7"/>
    <w:rsid w:val="00AC00BE"/>
    <w:rsid w:val="00AC0E14"/>
    <w:rsid w:val="00AC11F1"/>
    <w:rsid w:val="00AC1256"/>
    <w:rsid w:val="00AC1906"/>
    <w:rsid w:val="00AC29A6"/>
    <w:rsid w:val="00AC2CDB"/>
    <w:rsid w:val="00AC30FE"/>
    <w:rsid w:val="00AC35CB"/>
    <w:rsid w:val="00AC372D"/>
    <w:rsid w:val="00AC3803"/>
    <w:rsid w:val="00AC3B9A"/>
    <w:rsid w:val="00AC406E"/>
    <w:rsid w:val="00AC5BBD"/>
    <w:rsid w:val="00AC6062"/>
    <w:rsid w:val="00AC6134"/>
    <w:rsid w:val="00AC7230"/>
    <w:rsid w:val="00AD02F6"/>
    <w:rsid w:val="00AD1113"/>
    <w:rsid w:val="00AD20AC"/>
    <w:rsid w:val="00AD2262"/>
    <w:rsid w:val="00AD2644"/>
    <w:rsid w:val="00AD408E"/>
    <w:rsid w:val="00AD43F1"/>
    <w:rsid w:val="00AD5652"/>
    <w:rsid w:val="00AD5C1D"/>
    <w:rsid w:val="00AD5CFE"/>
    <w:rsid w:val="00AD79AD"/>
    <w:rsid w:val="00AD79BA"/>
    <w:rsid w:val="00AE1430"/>
    <w:rsid w:val="00AE1D1E"/>
    <w:rsid w:val="00AE236F"/>
    <w:rsid w:val="00AE2E8A"/>
    <w:rsid w:val="00AE333D"/>
    <w:rsid w:val="00AE38F9"/>
    <w:rsid w:val="00AE3C46"/>
    <w:rsid w:val="00AE4DC7"/>
    <w:rsid w:val="00AE5755"/>
    <w:rsid w:val="00AE5B09"/>
    <w:rsid w:val="00AE5BAB"/>
    <w:rsid w:val="00AE6305"/>
    <w:rsid w:val="00AE690A"/>
    <w:rsid w:val="00AE6C0D"/>
    <w:rsid w:val="00AE7EDC"/>
    <w:rsid w:val="00AE7FC3"/>
    <w:rsid w:val="00AF0E75"/>
    <w:rsid w:val="00AF12F5"/>
    <w:rsid w:val="00AF1C06"/>
    <w:rsid w:val="00AF1D3C"/>
    <w:rsid w:val="00AF1DCC"/>
    <w:rsid w:val="00AF2712"/>
    <w:rsid w:val="00AF3484"/>
    <w:rsid w:val="00AF42CE"/>
    <w:rsid w:val="00AF4D5E"/>
    <w:rsid w:val="00AF4FC2"/>
    <w:rsid w:val="00AF57A1"/>
    <w:rsid w:val="00AF59A2"/>
    <w:rsid w:val="00AF6A0C"/>
    <w:rsid w:val="00AF6FB4"/>
    <w:rsid w:val="00AF7363"/>
    <w:rsid w:val="00AF7591"/>
    <w:rsid w:val="00AF7D84"/>
    <w:rsid w:val="00AF7E2C"/>
    <w:rsid w:val="00B00879"/>
    <w:rsid w:val="00B0106A"/>
    <w:rsid w:val="00B019B7"/>
    <w:rsid w:val="00B01A8C"/>
    <w:rsid w:val="00B01C70"/>
    <w:rsid w:val="00B0224F"/>
    <w:rsid w:val="00B0244B"/>
    <w:rsid w:val="00B026C7"/>
    <w:rsid w:val="00B026F9"/>
    <w:rsid w:val="00B02CDB"/>
    <w:rsid w:val="00B02E8D"/>
    <w:rsid w:val="00B042D1"/>
    <w:rsid w:val="00B04C8C"/>
    <w:rsid w:val="00B05148"/>
    <w:rsid w:val="00B06090"/>
    <w:rsid w:val="00B0631F"/>
    <w:rsid w:val="00B06BF4"/>
    <w:rsid w:val="00B06C41"/>
    <w:rsid w:val="00B101ED"/>
    <w:rsid w:val="00B1037C"/>
    <w:rsid w:val="00B10D74"/>
    <w:rsid w:val="00B11397"/>
    <w:rsid w:val="00B1240C"/>
    <w:rsid w:val="00B12FFA"/>
    <w:rsid w:val="00B133B4"/>
    <w:rsid w:val="00B13DC0"/>
    <w:rsid w:val="00B1452D"/>
    <w:rsid w:val="00B14CA6"/>
    <w:rsid w:val="00B14D3D"/>
    <w:rsid w:val="00B15A52"/>
    <w:rsid w:val="00B16398"/>
    <w:rsid w:val="00B16699"/>
    <w:rsid w:val="00B1692A"/>
    <w:rsid w:val="00B16D40"/>
    <w:rsid w:val="00B17005"/>
    <w:rsid w:val="00B170C2"/>
    <w:rsid w:val="00B17526"/>
    <w:rsid w:val="00B17584"/>
    <w:rsid w:val="00B17692"/>
    <w:rsid w:val="00B1790C"/>
    <w:rsid w:val="00B17C04"/>
    <w:rsid w:val="00B17ED7"/>
    <w:rsid w:val="00B200A5"/>
    <w:rsid w:val="00B2097E"/>
    <w:rsid w:val="00B20E9B"/>
    <w:rsid w:val="00B214D3"/>
    <w:rsid w:val="00B21541"/>
    <w:rsid w:val="00B21E45"/>
    <w:rsid w:val="00B22A9E"/>
    <w:rsid w:val="00B23219"/>
    <w:rsid w:val="00B24C1F"/>
    <w:rsid w:val="00B25026"/>
    <w:rsid w:val="00B25168"/>
    <w:rsid w:val="00B2521F"/>
    <w:rsid w:val="00B25463"/>
    <w:rsid w:val="00B2585B"/>
    <w:rsid w:val="00B25C9B"/>
    <w:rsid w:val="00B26AC6"/>
    <w:rsid w:val="00B26BE8"/>
    <w:rsid w:val="00B27709"/>
    <w:rsid w:val="00B27A03"/>
    <w:rsid w:val="00B27B27"/>
    <w:rsid w:val="00B30038"/>
    <w:rsid w:val="00B307F3"/>
    <w:rsid w:val="00B30E7D"/>
    <w:rsid w:val="00B318A8"/>
    <w:rsid w:val="00B31D43"/>
    <w:rsid w:val="00B32B69"/>
    <w:rsid w:val="00B33282"/>
    <w:rsid w:val="00B33C1E"/>
    <w:rsid w:val="00B34B5C"/>
    <w:rsid w:val="00B34D14"/>
    <w:rsid w:val="00B35445"/>
    <w:rsid w:val="00B366B1"/>
    <w:rsid w:val="00B36A68"/>
    <w:rsid w:val="00B37AC3"/>
    <w:rsid w:val="00B37E50"/>
    <w:rsid w:val="00B402A9"/>
    <w:rsid w:val="00B40EFC"/>
    <w:rsid w:val="00B41198"/>
    <w:rsid w:val="00B41966"/>
    <w:rsid w:val="00B41B74"/>
    <w:rsid w:val="00B426FB"/>
    <w:rsid w:val="00B42861"/>
    <w:rsid w:val="00B436E3"/>
    <w:rsid w:val="00B446D5"/>
    <w:rsid w:val="00B44713"/>
    <w:rsid w:val="00B44D5E"/>
    <w:rsid w:val="00B45127"/>
    <w:rsid w:val="00B464B6"/>
    <w:rsid w:val="00B46565"/>
    <w:rsid w:val="00B47653"/>
    <w:rsid w:val="00B50936"/>
    <w:rsid w:val="00B51B0E"/>
    <w:rsid w:val="00B527D8"/>
    <w:rsid w:val="00B542EE"/>
    <w:rsid w:val="00B54787"/>
    <w:rsid w:val="00B5494C"/>
    <w:rsid w:val="00B54AA9"/>
    <w:rsid w:val="00B54D11"/>
    <w:rsid w:val="00B54F4C"/>
    <w:rsid w:val="00B55293"/>
    <w:rsid w:val="00B553F9"/>
    <w:rsid w:val="00B55715"/>
    <w:rsid w:val="00B55906"/>
    <w:rsid w:val="00B55A54"/>
    <w:rsid w:val="00B55E1D"/>
    <w:rsid w:val="00B55E9E"/>
    <w:rsid w:val="00B56EA7"/>
    <w:rsid w:val="00B578D4"/>
    <w:rsid w:val="00B57B5C"/>
    <w:rsid w:val="00B61432"/>
    <w:rsid w:val="00B62588"/>
    <w:rsid w:val="00B6328A"/>
    <w:rsid w:val="00B6358D"/>
    <w:rsid w:val="00B635CD"/>
    <w:rsid w:val="00B63888"/>
    <w:rsid w:val="00B6400D"/>
    <w:rsid w:val="00B6426B"/>
    <w:rsid w:val="00B645D5"/>
    <w:rsid w:val="00B648E8"/>
    <w:rsid w:val="00B64E49"/>
    <w:rsid w:val="00B64EDD"/>
    <w:rsid w:val="00B653AA"/>
    <w:rsid w:val="00B6564F"/>
    <w:rsid w:val="00B65855"/>
    <w:rsid w:val="00B6602F"/>
    <w:rsid w:val="00B6688F"/>
    <w:rsid w:val="00B66BC8"/>
    <w:rsid w:val="00B67129"/>
    <w:rsid w:val="00B676A8"/>
    <w:rsid w:val="00B679F8"/>
    <w:rsid w:val="00B70823"/>
    <w:rsid w:val="00B70843"/>
    <w:rsid w:val="00B70982"/>
    <w:rsid w:val="00B72061"/>
    <w:rsid w:val="00B734DB"/>
    <w:rsid w:val="00B739A6"/>
    <w:rsid w:val="00B747C9"/>
    <w:rsid w:val="00B75C87"/>
    <w:rsid w:val="00B76582"/>
    <w:rsid w:val="00B772D2"/>
    <w:rsid w:val="00B7760F"/>
    <w:rsid w:val="00B776E0"/>
    <w:rsid w:val="00B803AD"/>
    <w:rsid w:val="00B80451"/>
    <w:rsid w:val="00B80987"/>
    <w:rsid w:val="00B80BCB"/>
    <w:rsid w:val="00B814AB"/>
    <w:rsid w:val="00B81B50"/>
    <w:rsid w:val="00B822FB"/>
    <w:rsid w:val="00B82DA3"/>
    <w:rsid w:val="00B82FE6"/>
    <w:rsid w:val="00B83B22"/>
    <w:rsid w:val="00B83BCA"/>
    <w:rsid w:val="00B84627"/>
    <w:rsid w:val="00B851C3"/>
    <w:rsid w:val="00B85B68"/>
    <w:rsid w:val="00B86331"/>
    <w:rsid w:val="00B86E94"/>
    <w:rsid w:val="00B870C3"/>
    <w:rsid w:val="00B873BF"/>
    <w:rsid w:val="00B87A08"/>
    <w:rsid w:val="00B907EA"/>
    <w:rsid w:val="00B90C97"/>
    <w:rsid w:val="00B910E2"/>
    <w:rsid w:val="00B91DC9"/>
    <w:rsid w:val="00B920EF"/>
    <w:rsid w:val="00B92D49"/>
    <w:rsid w:val="00B9323B"/>
    <w:rsid w:val="00B935B9"/>
    <w:rsid w:val="00B9380E"/>
    <w:rsid w:val="00B93ABC"/>
    <w:rsid w:val="00B9414D"/>
    <w:rsid w:val="00B94AAC"/>
    <w:rsid w:val="00B963E4"/>
    <w:rsid w:val="00B96926"/>
    <w:rsid w:val="00B96AF3"/>
    <w:rsid w:val="00B97465"/>
    <w:rsid w:val="00B978D5"/>
    <w:rsid w:val="00B97D30"/>
    <w:rsid w:val="00BA0277"/>
    <w:rsid w:val="00BA05BB"/>
    <w:rsid w:val="00BA0D6E"/>
    <w:rsid w:val="00BA1176"/>
    <w:rsid w:val="00BA1A25"/>
    <w:rsid w:val="00BA1A9C"/>
    <w:rsid w:val="00BA1D05"/>
    <w:rsid w:val="00BA3046"/>
    <w:rsid w:val="00BA3076"/>
    <w:rsid w:val="00BA38DF"/>
    <w:rsid w:val="00BA3ADF"/>
    <w:rsid w:val="00BA4021"/>
    <w:rsid w:val="00BA4206"/>
    <w:rsid w:val="00BA468B"/>
    <w:rsid w:val="00BA5A89"/>
    <w:rsid w:val="00BA64B5"/>
    <w:rsid w:val="00BA65D8"/>
    <w:rsid w:val="00BA734A"/>
    <w:rsid w:val="00BA7FB9"/>
    <w:rsid w:val="00BA7FE4"/>
    <w:rsid w:val="00BB0CDE"/>
    <w:rsid w:val="00BB1083"/>
    <w:rsid w:val="00BB1EF1"/>
    <w:rsid w:val="00BB260F"/>
    <w:rsid w:val="00BB297C"/>
    <w:rsid w:val="00BB3000"/>
    <w:rsid w:val="00BB341C"/>
    <w:rsid w:val="00BB3521"/>
    <w:rsid w:val="00BB3579"/>
    <w:rsid w:val="00BB360E"/>
    <w:rsid w:val="00BB37F4"/>
    <w:rsid w:val="00BB43AA"/>
    <w:rsid w:val="00BB4BC1"/>
    <w:rsid w:val="00BB4F0E"/>
    <w:rsid w:val="00BB5299"/>
    <w:rsid w:val="00BB52A3"/>
    <w:rsid w:val="00BB5318"/>
    <w:rsid w:val="00BB5A80"/>
    <w:rsid w:val="00BB60BE"/>
    <w:rsid w:val="00BB6597"/>
    <w:rsid w:val="00BB6DF4"/>
    <w:rsid w:val="00BB7D66"/>
    <w:rsid w:val="00BB7FD8"/>
    <w:rsid w:val="00BC0048"/>
    <w:rsid w:val="00BC0134"/>
    <w:rsid w:val="00BC0309"/>
    <w:rsid w:val="00BC086E"/>
    <w:rsid w:val="00BC0B01"/>
    <w:rsid w:val="00BC159C"/>
    <w:rsid w:val="00BC29A4"/>
    <w:rsid w:val="00BC29F4"/>
    <w:rsid w:val="00BC2BB7"/>
    <w:rsid w:val="00BC2EAF"/>
    <w:rsid w:val="00BC3033"/>
    <w:rsid w:val="00BC35CA"/>
    <w:rsid w:val="00BC4BFD"/>
    <w:rsid w:val="00BC5C4C"/>
    <w:rsid w:val="00BC6312"/>
    <w:rsid w:val="00BD06BE"/>
    <w:rsid w:val="00BD0784"/>
    <w:rsid w:val="00BD0B7A"/>
    <w:rsid w:val="00BD101A"/>
    <w:rsid w:val="00BD1D34"/>
    <w:rsid w:val="00BD2045"/>
    <w:rsid w:val="00BD2BA0"/>
    <w:rsid w:val="00BD435E"/>
    <w:rsid w:val="00BD470E"/>
    <w:rsid w:val="00BD4F0E"/>
    <w:rsid w:val="00BD57E5"/>
    <w:rsid w:val="00BD5E27"/>
    <w:rsid w:val="00BD5F69"/>
    <w:rsid w:val="00BD6305"/>
    <w:rsid w:val="00BD633A"/>
    <w:rsid w:val="00BD6E82"/>
    <w:rsid w:val="00BD72DD"/>
    <w:rsid w:val="00BD79B8"/>
    <w:rsid w:val="00BE04F6"/>
    <w:rsid w:val="00BE080B"/>
    <w:rsid w:val="00BE12C7"/>
    <w:rsid w:val="00BE21C4"/>
    <w:rsid w:val="00BE22B8"/>
    <w:rsid w:val="00BE2B5B"/>
    <w:rsid w:val="00BE5CBC"/>
    <w:rsid w:val="00BE5DAB"/>
    <w:rsid w:val="00BE5F50"/>
    <w:rsid w:val="00BE7A17"/>
    <w:rsid w:val="00BE7E7A"/>
    <w:rsid w:val="00BF0D7F"/>
    <w:rsid w:val="00BF1509"/>
    <w:rsid w:val="00BF181C"/>
    <w:rsid w:val="00BF1F1E"/>
    <w:rsid w:val="00BF2154"/>
    <w:rsid w:val="00BF2C83"/>
    <w:rsid w:val="00BF2E28"/>
    <w:rsid w:val="00BF3637"/>
    <w:rsid w:val="00BF36BD"/>
    <w:rsid w:val="00BF3B54"/>
    <w:rsid w:val="00BF3D96"/>
    <w:rsid w:val="00BF4028"/>
    <w:rsid w:val="00BF458B"/>
    <w:rsid w:val="00BF511D"/>
    <w:rsid w:val="00BF5320"/>
    <w:rsid w:val="00BF5C19"/>
    <w:rsid w:val="00BF6FB6"/>
    <w:rsid w:val="00BF79FE"/>
    <w:rsid w:val="00BF7DB0"/>
    <w:rsid w:val="00C015B2"/>
    <w:rsid w:val="00C01D1C"/>
    <w:rsid w:val="00C01DCD"/>
    <w:rsid w:val="00C01E74"/>
    <w:rsid w:val="00C02107"/>
    <w:rsid w:val="00C02AA1"/>
    <w:rsid w:val="00C02B1F"/>
    <w:rsid w:val="00C02D7F"/>
    <w:rsid w:val="00C034C2"/>
    <w:rsid w:val="00C051C2"/>
    <w:rsid w:val="00C05A70"/>
    <w:rsid w:val="00C0607E"/>
    <w:rsid w:val="00C0616C"/>
    <w:rsid w:val="00C06E7A"/>
    <w:rsid w:val="00C07527"/>
    <w:rsid w:val="00C0752D"/>
    <w:rsid w:val="00C07DD6"/>
    <w:rsid w:val="00C104F5"/>
    <w:rsid w:val="00C10628"/>
    <w:rsid w:val="00C106AE"/>
    <w:rsid w:val="00C14B3B"/>
    <w:rsid w:val="00C14DFD"/>
    <w:rsid w:val="00C1518C"/>
    <w:rsid w:val="00C160CE"/>
    <w:rsid w:val="00C1663C"/>
    <w:rsid w:val="00C16C3D"/>
    <w:rsid w:val="00C1740D"/>
    <w:rsid w:val="00C20DCB"/>
    <w:rsid w:val="00C2133A"/>
    <w:rsid w:val="00C21C60"/>
    <w:rsid w:val="00C233F1"/>
    <w:rsid w:val="00C24F23"/>
    <w:rsid w:val="00C24FD1"/>
    <w:rsid w:val="00C258C3"/>
    <w:rsid w:val="00C2593E"/>
    <w:rsid w:val="00C25E72"/>
    <w:rsid w:val="00C25E75"/>
    <w:rsid w:val="00C25F54"/>
    <w:rsid w:val="00C26788"/>
    <w:rsid w:val="00C306D9"/>
    <w:rsid w:val="00C30FBE"/>
    <w:rsid w:val="00C319F5"/>
    <w:rsid w:val="00C31C24"/>
    <w:rsid w:val="00C31D91"/>
    <w:rsid w:val="00C3273C"/>
    <w:rsid w:val="00C32777"/>
    <w:rsid w:val="00C32E94"/>
    <w:rsid w:val="00C332A6"/>
    <w:rsid w:val="00C33884"/>
    <w:rsid w:val="00C33A9E"/>
    <w:rsid w:val="00C33CED"/>
    <w:rsid w:val="00C3426A"/>
    <w:rsid w:val="00C348F6"/>
    <w:rsid w:val="00C35BDF"/>
    <w:rsid w:val="00C36C6B"/>
    <w:rsid w:val="00C36CD8"/>
    <w:rsid w:val="00C372AC"/>
    <w:rsid w:val="00C41131"/>
    <w:rsid w:val="00C4157C"/>
    <w:rsid w:val="00C42A79"/>
    <w:rsid w:val="00C4337C"/>
    <w:rsid w:val="00C43FC7"/>
    <w:rsid w:val="00C44B71"/>
    <w:rsid w:val="00C458F7"/>
    <w:rsid w:val="00C45B2C"/>
    <w:rsid w:val="00C4614E"/>
    <w:rsid w:val="00C464C2"/>
    <w:rsid w:val="00C4738C"/>
    <w:rsid w:val="00C474FF"/>
    <w:rsid w:val="00C47724"/>
    <w:rsid w:val="00C47DFA"/>
    <w:rsid w:val="00C47EFB"/>
    <w:rsid w:val="00C50226"/>
    <w:rsid w:val="00C50BCB"/>
    <w:rsid w:val="00C51CA1"/>
    <w:rsid w:val="00C52795"/>
    <w:rsid w:val="00C53389"/>
    <w:rsid w:val="00C5368D"/>
    <w:rsid w:val="00C53811"/>
    <w:rsid w:val="00C54222"/>
    <w:rsid w:val="00C54268"/>
    <w:rsid w:val="00C54638"/>
    <w:rsid w:val="00C553B6"/>
    <w:rsid w:val="00C562C1"/>
    <w:rsid w:val="00C563E2"/>
    <w:rsid w:val="00C57A0C"/>
    <w:rsid w:val="00C610CD"/>
    <w:rsid w:val="00C61649"/>
    <w:rsid w:val="00C61873"/>
    <w:rsid w:val="00C62BEE"/>
    <w:rsid w:val="00C62DC7"/>
    <w:rsid w:val="00C637E4"/>
    <w:rsid w:val="00C63CDD"/>
    <w:rsid w:val="00C645F8"/>
    <w:rsid w:val="00C64A2A"/>
    <w:rsid w:val="00C64D30"/>
    <w:rsid w:val="00C64DB4"/>
    <w:rsid w:val="00C6589F"/>
    <w:rsid w:val="00C664DF"/>
    <w:rsid w:val="00C66759"/>
    <w:rsid w:val="00C66D0C"/>
    <w:rsid w:val="00C674A9"/>
    <w:rsid w:val="00C67E74"/>
    <w:rsid w:val="00C71AD5"/>
    <w:rsid w:val="00C72752"/>
    <w:rsid w:val="00C728F9"/>
    <w:rsid w:val="00C742FF"/>
    <w:rsid w:val="00C75060"/>
    <w:rsid w:val="00C750AB"/>
    <w:rsid w:val="00C764CB"/>
    <w:rsid w:val="00C77440"/>
    <w:rsid w:val="00C77C5C"/>
    <w:rsid w:val="00C800AA"/>
    <w:rsid w:val="00C80A36"/>
    <w:rsid w:val="00C80AE9"/>
    <w:rsid w:val="00C81236"/>
    <w:rsid w:val="00C815AC"/>
    <w:rsid w:val="00C817B2"/>
    <w:rsid w:val="00C81FB8"/>
    <w:rsid w:val="00C82E12"/>
    <w:rsid w:val="00C84ABF"/>
    <w:rsid w:val="00C84F1D"/>
    <w:rsid w:val="00C84F3E"/>
    <w:rsid w:val="00C852AD"/>
    <w:rsid w:val="00C85B91"/>
    <w:rsid w:val="00C85F36"/>
    <w:rsid w:val="00C863DE"/>
    <w:rsid w:val="00C86A1B"/>
    <w:rsid w:val="00C87166"/>
    <w:rsid w:val="00C87E83"/>
    <w:rsid w:val="00C87F36"/>
    <w:rsid w:val="00C901B5"/>
    <w:rsid w:val="00C90C73"/>
    <w:rsid w:val="00C90F61"/>
    <w:rsid w:val="00C9140E"/>
    <w:rsid w:val="00C921D0"/>
    <w:rsid w:val="00C929BC"/>
    <w:rsid w:val="00C92B33"/>
    <w:rsid w:val="00C941E3"/>
    <w:rsid w:val="00C9427A"/>
    <w:rsid w:val="00C94609"/>
    <w:rsid w:val="00C9463D"/>
    <w:rsid w:val="00C9466C"/>
    <w:rsid w:val="00C94C40"/>
    <w:rsid w:val="00C94EFB"/>
    <w:rsid w:val="00C961F0"/>
    <w:rsid w:val="00C96FEC"/>
    <w:rsid w:val="00C973EE"/>
    <w:rsid w:val="00C977A8"/>
    <w:rsid w:val="00C977C2"/>
    <w:rsid w:val="00C97A31"/>
    <w:rsid w:val="00C97FE5"/>
    <w:rsid w:val="00CA05B4"/>
    <w:rsid w:val="00CA0835"/>
    <w:rsid w:val="00CA0845"/>
    <w:rsid w:val="00CA08D5"/>
    <w:rsid w:val="00CA0949"/>
    <w:rsid w:val="00CA0DAB"/>
    <w:rsid w:val="00CA1EA4"/>
    <w:rsid w:val="00CA22D2"/>
    <w:rsid w:val="00CA3503"/>
    <w:rsid w:val="00CA3EFA"/>
    <w:rsid w:val="00CA43F7"/>
    <w:rsid w:val="00CA5FFC"/>
    <w:rsid w:val="00CA6001"/>
    <w:rsid w:val="00CA6226"/>
    <w:rsid w:val="00CA6C8E"/>
    <w:rsid w:val="00CB042E"/>
    <w:rsid w:val="00CB056F"/>
    <w:rsid w:val="00CB099E"/>
    <w:rsid w:val="00CB1345"/>
    <w:rsid w:val="00CB1D2A"/>
    <w:rsid w:val="00CB1FA9"/>
    <w:rsid w:val="00CB200E"/>
    <w:rsid w:val="00CB359A"/>
    <w:rsid w:val="00CB3D5C"/>
    <w:rsid w:val="00CB5F81"/>
    <w:rsid w:val="00CB71FE"/>
    <w:rsid w:val="00CB779D"/>
    <w:rsid w:val="00CB7DFB"/>
    <w:rsid w:val="00CC01AC"/>
    <w:rsid w:val="00CC046C"/>
    <w:rsid w:val="00CC0919"/>
    <w:rsid w:val="00CC0997"/>
    <w:rsid w:val="00CC2D9B"/>
    <w:rsid w:val="00CC2DAA"/>
    <w:rsid w:val="00CC318F"/>
    <w:rsid w:val="00CC3B0D"/>
    <w:rsid w:val="00CC3F53"/>
    <w:rsid w:val="00CC4181"/>
    <w:rsid w:val="00CC41E9"/>
    <w:rsid w:val="00CC4225"/>
    <w:rsid w:val="00CC63E5"/>
    <w:rsid w:val="00CC6693"/>
    <w:rsid w:val="00CC6F36"/>
    <w:rsid w:val="00CC6F73"/>
    <w:rsid w:val="00CC7258"/>
    <w:rsid w:val="00CC744B"/>
    <w:rsid w:val="00CC78E7"/>
    <w:rsid w:val="00CD02B7"/>
    <w:rsid w:val="00CD1202"/>
    <w:rsid w:val="00CD19E4"/>
    <w:rsid w:val="00CD2CAE"/>
    <w:rsid w:val="00CD2CF1"/>
    <w:rsid w:val="00CD2D64"/>
    <w:rsid w:val="00CD303C"/>
    <w:rsid w:val="00CD30C6"/>
    <w:rsid w:val="00CD339B"/>
    <w:rsid w:val="00CD3BA5"/>
    <w:rsid w:val="00CD3D8D"/>
    <w:rsid w:val="00CD4060"/>
    <w:rsid w:val="00CD422F"/>
    <w:rsid w:val="00CD44F0"/>
    <w:rsid w:val="00CD468A"/>
    <w:rsid w:val="00CD4AFE"/>
    <w:rsid w:val="00CD5E59"/>
    <w:rsid w:val="00CD5F14"/>
    <w:rsid w:val="00CD6653"/>
    <w:rsid w:val="00CD6D70"/>
    <w:rsid w:val="00CD766A"/>
    <w:rsid w:val="00CD7F17"/>
    <w:rsid w:val="00CE10D3"/>
    <w:rsid w:val="00CE1402"/>
    <w:rsid w:val="00CE167A"/>
    <w:rsid w:val="00CE2662"/>
    <w:rsid w:val="00CE298A"/>
    <w:rsid w:val="00CE2E75"/>
    <w:rsid w:val="00CE31A6"/>
    <w:rsid w:val="00CE31AE"/>
    <w:rsid w:val="00CE3259"/>
    <w:rsid w:val="00CE39BC"/>
    <w:rsid w:val="00CE3EA6"/>
    <w:rsid w:val="00CE435C"/>
    <w:rsid w:val="00CE46AA"/>
    <w:rsid w:val="00CE545A"/>
    <w:rsid w:val="00CE54E3"/>
    <w:rsid w:val="00CE58EB"/>
    <w:rsid w:val="00CE713B"/>
    <w:rsid w:val="00CE782E"/>
    <w:rsid w:val="00CE7C67"/>
    <w:rsid w:val="00CE7E5B"/>
    <w:rsid w:val="00CF031C"/>
    <w:rsid w:val="00CF0A01"/>
    <w:rsid w:val="00CF0BF6"/>
    <w:rsid w:val="00CF21BE"/>
    <w:rsid w:val="00CF257A"/>
    <w:rsid w:val="00CF33FF"/>
    <w:rsid w:val="00CF3C7E"/>
    <w:rsid w:val="00CF3DC3"/>
    <w:rsid w:val="00CF4B4F"/>
    <w:rsid w:val="00CF522D"/>
    <w:rsid w:val="00CF5433"/>
    <w:rsid w:val="00CF5A36"/>
    <w:rsid w:val="00CF5E98"/>
    <w:rsid w:val="00CF63A3"/>
    <w:rsid w:val="00CF6EC1"/>
    <w:rsid w:val="00CF7335"/>
    <w:rsid w:val="00CF75A0"/>
    <w:rsid w:val="00CF76AC"/>
    <w:rsid w:val="00CF777E"/>
    <w:rsid w:val="00D009AE"/>
    <w:rsid w:val="00D0217E"/>
    <w:rsid w:val="00D02489"/>
    <w:rsid w:val="00D02605"/>
    <w:rsid w:val="00D0351B"/>
    <w:rsid w:val="00D03976"/>
    <w:rsid w:val="00D0485E"/>
    <w:rsid w:val="00D04EB3"/>
    <w:rsid w:val="00D05540"/>
    <w:rsid w:val="00D05EFC"/>
    <w:rsid w:val="00D0675D"/>
    <w:rsid w:val="00D06787"/>
    <w:rsid w:val="00D0683E"/>
    <w:rsid w:val="00D06C9B"/>
    <w:rsid w:val="00D0729D"/>
    <w:rsid w:val="00D07304"/>
    <w:rsid w:val="00D07FC7"/>
    <w:rsid w:val="00D105E7"/>
    <w:rsid w:val="00D10AD8"/>
    <w:rsid w:val="00D10D14"/>
    <w:rsid w:val="00D129B2"/>
    <w:rsid w:val="00D12AA4"/>
    <w:rsid w:val="00D12C49"/>
    <w:rsid w:val="00D1320E"/>
    <w:rsid w:val="00D1359E"/>
    <w:rsid w:val="00D13DA4"/>
    <w:rsid w:val="00D13E21"/>
    <w:rsid w:val="00D140F5"/>
    <w:rsid w:val="00D14227"/>
    <w:rsid w:val="00D14542"/>
    <w:rsid w:val="00D14BD7"/>
    <w:rsid w:val="00D14C82"/>
    <w:rsid w:val="00D14D57"/>
    <w:rsid w:val="00D1521D"/>
    <w:rsid w:val="00D1593B"/>
    <w:rsid w:val="00D15CE8"/>
    <w:rsid w:val="00D16565"/>
    <w:rsid w:val="00D168AA"/>
    <w:rsid w:val="00D170AB"/>
    <w:rsid w:val="00D17898"/>
    <w:rsid w:val="00D21CB3"/>
    <w:rsid w:val="00D229A5"/>
    <w:rsid w:val="00D22E34"/>
    <w:rsid w:val="00D22FE5"/>
    <w:rsid w:val="00D23245"/>
    <w:rsid w:val="00D23463"/>
    <w:rsid w:val="00D239CF"/>
    <w:rsid w:val="00D24178"/>
    <w:rsid w:val="00D241D6"/>
    <w:rsid w:val="00D24986"/>
    <w:rsid w:val="00D249B5"/>
    <w:rsid w:val="00D24C34"/>
    <w:rsid w:val="00D24DCF"/>
    <w:rsid w:val="00D254E8"/>
    <w:rsid w:val="00D256B2"/>
    <w:rsid w:val="00D26428"/>
    <w:rsid w:val="00D26587"/>
    <w:rsid w:val="00D27351"/>
    <w:rsid w:val="00D3002A"/>
    <w:rsid w:val="00D30A29"/>
    <w:rsid w:val="00D31B31"/>
    <w:rsid w:val="00D31F07"/>
    <w:rsid w:val="00D320B2"/>
    <w:rsid w:val="00D320E2"/>
    <w:rsid w:val="00D33037"/>
    <w:rsid w:val="00D33536"/>
    <w:rsid w:val="00D3436C"/>
    <w:rsid w:val="00D34B1A"/>
    <w:rsid w:val="00D352AE"/>
    <w:rsid w:val="00D35C49"/>
    <w:rsid w:val="00D35CFC"/>
    <w:rsid w:val="00D37815"/>
    <w:rsid w:val="00D37A3A"/>
    <w:rsid w:val="00D37DBC"/>
    <w:rsid w:val="00D41831"/>
    <w:rsid w:val="00D41B2B"/>
    <w:rsid w:val="00D41C9D"/>
    <w:rsid w:val="00D42263"/>
    <w:rsid w:val="00D43047"/>
    <w:rsid w:val="00D432D3"/>
    <w:rsid w:val="00D445A7"/>
    <w:rsid w:val="00D44BD6"/>
    <w:rsid w:val="00D45A46"/>
    <w:rsid w:val="00D46137"/>
    <w:rsid w:val="00D4707F"/>
    <w:rsid w:val="00D476F9"/>
    <w:rsid w:val="00D503FF"/>
    <w:rsid w:val="00D509DD"/>
    <w:rsid w:val="00D5286A"/>
    <w:rsid w:val="00D52ED0"/>
    <w:rsid w:val="00D52F02"/>
    <w:rsid w:val="00D5349F"/>
    <w:rsid w:val="00D5497F"/>
    <w:rsid w:val="00D56528"/>
    <w:rsid w:val="00D56DFA"/>
    <w:rsid w:val="00D57F7C"/>
    <w:rsid w:val="00D60528"/>
    <w:rsid w:val="00D6054B"/>
    <w:rsid w:val="00D606D1"/>
    <w:rsid w:val="00D608C1"/>
    <w:rsid w:val="00D614F6"/>
    <w:rsid w:val="00D622D3"/>
    <w:rsid w:val="00D622DF"/>
    <w:rsid w:val="00D624DE"/>
    <w:rsid w:val="00D62A34"/>
    <w:rsid w:val="00D6368C"/>
    <w:rsid w:val="00D63A58"/>
    <w:rsid w:val="00D64397"/>
    <w:rsid w:val="00D65ED6"/>
    <w:rsid w:val="00D67DAE"/>
    <w:rsid w:val="00D707F7"/>
    <w:rsid w:val="00D7360D"/>
    <w:rsid w:val="00D7377D"/>
    <w:rsid w:val="00D74871"/>
    <w:rsid w:val="00D75628"/>
    <w:rsid w:val="00D75BAC"/>
    <w:rsid w:val="00D75BF4"/>
    <w:rsid w:val="00D763F1"/>
    <w:rsid w:val="00D764D1"/>
    <w:rsid w:val="00D76B62"/>
    <w:rsid w:val="00D772E6"/>
    <w:rsid w:val="00D7785A"/>
    <w:rsid w:val="00D77B35"/>
    <w:rsid w:val="00D8078D"/>
    <w:rsid w:val="00D808B0"/>
    <w:rsid w:val="00D822FD"/>
    <w:rsid w:val="00D82939"/>
    <w:rsid w:val="00D8294B"/>
    <w:rsid w:val="00D82A70"/>
    <w:rsid w:val="00D830AC"/>
    <w:rsid w:val="00D84233"/>
    <w:rsid w:val="00D84962"/>
    <w:rsid w:val="00D85042"/>
    <w:rsid w:val="00D874D0"/>
    <w:rsid w:val="00D87756"/>
    <w:rsid w:val="00D877B2"/>
    <w:rsid w:val="00D87A13"/>
    <w:rsid w:val="00D90010"/>
    <w:rsid w:val="00D90441"/>
    <w:rsid w:val="00D909AD"/>
    <w:rsid w:val="00D90B95"/>
    <w:rsid w:val="00D9103E"/>
    <w:rsid w:val="00D911E9"/>
    <w:rsid w:val="00D91F6C"/>
    <w:rsid w:val="00D92690"/>
    <w:rsid w:val="00D9274D"/>
    <w:rsid w:val="00D927D2"/>
    <w:rsid w:val="00D928F0"/>
    <w:rsid w:val="00D92C92"/>
    <w:rsid w:val="00D92CAE"/>
    <w:rsid w:val="00D93348"/>
    <w:rsid w:val="00D9454B"/>
    <w:rsid w:val="00D94621"/>
    <w:rsid w:val="00D94BDB"/>
    <w:rsid w:val="00D952CE"/>
    <w:rsid w:val="00D958C4"/>
    <w:rsid w:val="00D9666E"/>
    <w:rsid w:val="00D96E53"/>
    <w:rsid w:val="00D97007"/>
    <w:rsid w:val="00D97258"/>
    <w:rsid w:val="00D972E7"/>
    <w:rsid w:val="00D976E6"/>
    <w:rsid w:val="00D9773B"/>
    <w:rsid w:val="00DA0DB7"/>
    <w:rsid w:val="00DA132F"/>
    <w:rsid w:val="00DA184B"/>
    <w:rsid w:val="00DA2225"/>
    <w:rsid w:val="00DA222D"/>
    <w:rsid w:val="00DA32CB"/>
    <w:rsid w:val="00DA3EA8"/>
    <w:rsid w:val="00DA54FD"/>
    <w:rsid w:val="00DA5558"/>
    <w:rsid w:val="00DA5D93"/>
    <w:rsid w:val="00DA5E71"/>
    <w:rsid w:val="00DA5EE1"/>
    <w:rsid w:val="00DA61F7"/>
    <w:rsid w:val="00DA6783"/>
    <w:rsid w:val="00DA6BEC"/>
    <w:rsid w:val="00DA6C0E"/>
    <w:rsid w:val="00DA71A2"/>
    <w:rsid w:val="00DA7FB8"/>
    <w:rsid w:val="00DB02E9"/>
    <w:rsid w:val="00DB076E"/>
    <w:rsid w:val="00DB0EF8"/>
    <w:rsid w:val="00DB190F"/>
    <w:rsid w:val="00DB1F64"/>
    <w:rsid w:val="00DB31BB"/>
    <w:rsid w:val="00DB3DF6"/>
    <w:rsid w:val="00DB41B9"/>
    <w:rsid w:val="00DB4739"/>
    <w:rsid w:val="00DB5860"/>
    <w:rsid w:val="00DB5E47"/>
    <w:rsid w:val="00DC001E"/>
    <w:rsid w:val="00DC17B0"/>
    <w:rsid w:val="00DC1869"/>
    <w:rsid w:val="00DC298A"/>
    <w:rsid w:val="00DC351A"/>
    <w:rsid w:val="00DC43EA"/>
    <w:rsid w:val="00DC45E8"/>
    <w:rsid w:val="00DC4AFF"/>
    <w:rsid w:val="00DC51F5"/>
    <w:rsid w:val="00DC5506"/>
    <w:rsid w:val="00DC5A13"/>
    <w:rsid w:val="00DC5C80"/>
    <w:rsid w:val="00DC7267"/>
    <w:rsid w:val="00DD0A63"/>
    <w:rsid w:val="00DD0E03"/>
    <w:rsid w:val="00DD0F83"/>
    <w:rsid w:val="00DD2312"/>
    <w:rsid w:val="00DD2702"/>
    <w:rsid w:val="00DD3E83"/>
    <w:rsid w:val="00DD41D0"/>
    <w:rsid w:val="00DD47BC"/>
    <w:rsid w:val="00DD53A0"/>
    <w:rsid w:val="00DD58DC"/>
    <w:rsid w:val="00DD65AF"/>
    <w:rsid w:val="00DD6BB0"/>
    <w:rsid w:val="00DD78AC"/>
    <w:rsid w:val="00DD7B33"/>
    <w:rsid w:val="00DD7C7B"/>
    <w:rsid w:val="00DE002E"/>
    <w:rsid w:val="00DE01F4"/>
    <w:rsid w:val="00DE0384"/>
    <w:rsid w:val="00DE095E"/>
    <w:rsid w:val="00DE09E4"/>
    <w:rsid w:val="00DE0DB9"/>
    <w:rsid w:val="00DE1BFA"/>
    <w:rsid w:val="00DE224E"/>
    <w:rsid w:val="00DE2532"/>
    <w:rsid w:val="00DE3664"/>
    <w:rsid w:val="00DE3C30"/>
    <w:rsid w:val="00DE3CE8"/>
    <w:rsid w:val="00DE41F0"/>
    <w:rsid w:val="00DE4F0D"/>
    <w:rsid w:val="00DE546F"/>
    <w:rsid w:val="00DE54BF"/>
    <w:rsid w:val="00DE55D3"/>
    <w:rsid w:val="00DE6A4D"/>
    <w:rsid w:val="00DE760E"/>
    <w:rsid w:val="00DE775F"/>
    <w:rsid w:val="00DE7A8D"/>
    <w:rsid w:val="00DF076F"/>
    <w:rsid w:val="00DF11FE"/>
    <w:rsid w:val="00DF1BCE"/>
    <w:rsid w:val="00DF1D09"/>
    <w:rsid w:val="00DF248E"/>
    <w:rsid w:val="00DF379D"/>
    <w:rsid w:val="00DF3DCC"/>
    <w:rsid w:val="00DF509F"/>
    <w:rsid w:val="00DF52DF"/>
    <w:rsid w:val="00DF5409"/>
    <w:rsid w:val="00DF66A2"/>
    <w:rsid w:val="00DF6E11"/>
    <w:rsid w:val="00DF75CC"/>
    <w:rsid w:val="00DF7741"/>
    <w:rsid w:val="00DF7F0F"/>
    <w:rsid w:val="00E0004F"/>
    <w:rsid w:val="00E00B10"/>
    <w:rsid w:val="00E00B7B"/>
    <w:rsid w:val="00E0165A"/>
    <w:rsid w:val="00E016CB"/>
    <w:rsid w:val="00E019B1"/>
    <w:rsid w:val="00E01DE1"/>
    <w:rsid w:val="00E0311A"/>
    <w:rsid w:val="00E037CF"/>
    <w:rsid w:val="00E0395C"/>
    <w:rsid w:val="00E03D7A"/>
    <w:rsid w:val="00E044EF"/>
    <w:rsid w:val="00E0540B"/>
    <w:rsid w:val="00E05441"/>
    <w:rsid w:val="00E05651"/>
    <w:rsid w:val="00E05A7F"/>
    <w:rsid w:val="00E0617F"/>
    <w:rsid w:val="00E06B2C"/>
    <w:rsid w:val="00E07409"/>
    <w:rsid w:val="00E07711"/>
    <w:rsid w:val="00E07FD2"/>
    <w:rsid w:val="00E101F5"/>
    <w:rsid w:val="00E10E70"/>
    <w:rsid w:val="00E115AC"/>
    <w:rsid w:val="00E11CC0"/>
    <w:rsid w:val="00E11F87"/>
    <w:rsid w:val="00E12BA0"/>
    <w:rsid w:val="00E1478D"/>
    <w:rsid w:val="00E147B0"/>
    <w:rsid w:val="00E15818"/>
    <w:rsid w:val="00E17721"/>
    <w:rsid w:val="00E202E1"/>
    <w:rsid w:val="00E20986"/>
    <w:rsid w:val="00E21A03"/>
    <w:rsid w:val="00E21A17"/>
    <w:rsid w:val="00E21D77"/>
    <w:rsid w:val="00E220EA"/>
    <w:rsid w:val="00E22F95"/>
    <w:rsid w:val="00E2596B"/>
    <w:rsid w:val="00E26A12"/>
    <w:rsid w:val="00E279C8"/>
    <w:rsid w:val="00E27A36"/>
    <w:rsid w:val="00E30952"/>
    <w:rsid w:val="00E31F96"/>
    <w:rsid w:val="00E32DBC"/>
    <w:rsid w:val="00E334C8"/>
    <w:rsid w:val="00E334E7"/>
    <w:rsid w:val="00E334F0"/>
    <w:rsid w:val="00E3377E"/>
    <w:rsid w:val="00E345E1"/>
    <w:rsid w:val="00E34CDB"/>
    <w:rsid w:val="00E35AA6"/>
    <w:rsid w:val="00E40485"/>
    <w:rsid w:val="00E407BD"/>
    <w:rsid w:val="00E40B3B"/>
    <w:rsid w:val="00E413EC"/>
    <w:rsid w:val="00E41F40"/>
    <w:rsid w:val="00E43CF4"/>
    <w:rsid w:val="00E443F8"/>
    <w:rsid w:val="00E448BF"/>
    <w:rsid w:val="00E44DE1"/>
    <w:rsid w:val="00E452AD"/>
    <w:rsid w:val="00E456DE"/>
    <w:rsid w:val="00E464B3"/>
    <w:rsid w:val="00E46653"/>
    <w:rsid w:val="00E46921"/>
    <w:rsid w:val="00E46AAE"/>
    <w:rsid w:val="00E46B96"/>
    <w:rsid w:val="00E46F20"/>
    <w:rsid w:val="00E47536"/>
    <w:rsid w:val="00E50793"/>
    <w:rsid w:val="00E50C32"/>
    <w:rsid w:val="00E50F13"/>
    <w:rsid w:val="00E51645"/>
    <w:rsid w:val="00E518B6"/>
    <w:rsid w:val="00E5203C"/>
    <w:rsid w:val="00E52237"/>
    <w:rsid w:val="00E522ED"/>
    <w:rsid w:val="00E52ADD"/>
    <w:rsid w:val="00E541CB"/>
    <w:rsid w:val="00E54A38"/>
    <w:rsid w:val="00E54E98"/>
    <w:rsid w:val="00E5515E"/>
    <w:rsid w:val="00E551F8"/>
    <w:rsid w:val="00E55551"/>
    <w:rsid w:val="00E555AA"/>
    <w:rsid w:val="00E55CAA"/>
    <w:rsid w:val="00E56A11"/>
    <w:rsid w:val="00E56DC0"/>
    <w:rsid w:val="00E571AF"/>
    <w:rsid w:val="00E6024F"/>
    <w:rsid w:val="00E61B9B"/>
    <w:rsid w:val="00E61C16"/>
    <w:rsid w:val="00E61CEE"/>
    <w:rsid w:val="00E62BA0"/>
    <w:rsid w:val="00E62FCF"/>
    <w:rsid w:val="00E63920"/>
    <w:rsid w:val="00E63976"/>
    <w:rsid w:val="00E63A61"/>
    <w:rsid w:val="00E64191"/>
    <w:rsid w:val="00E64441"/>
    <w:rsid w:val="00E64452"/>
    <w:rsid w:val="00E64F92"/>
    <w:rsid w:val="00E6521D"/>
    <w:rsid w:val="00E6539D"/>
    <w:rsid w:val="00E6703F"/>
    <w:rsid w:val="00E671B3"/>
    <w:rsid w:val="00E67702"/>
    <w:rsid w:val="00E67B28"/>
    <w:rsid w:val="00E67E1E"/>
    <w:rsid w:val="00E703D7"/>
    <w:rsid w:val="00E70A1E"/>
    <w:rsid w:val="00E728D1"/>
    <w:rsid w:val="00E72B89"/>
    <w:rsid w:val="00E72C7F"/>
    <w:rsid w:val="00E72D79"/>
    <w:rsid w:val="00E736CA"/>
    <w:rsid w:val="00E7372F"/>
    <w:rsid w:val="00E73F29"/>
    <w:rsid w:val="00E759CA"/>
    <w:rsid w:val="00E75F95"/>
    <w:rsid w:val="00E76CCE"/>
    <w:rsid w:val="00E804A4"/>
    <w:rsid w:val="00E80532"/>
    <w:rsid w:val="00E80840"/>
    <w:rsid w:val="00E815A5"/>
    <w:rsid w:val="00E8168F"/>
    <w:rsid w:val="00E81D81"/>
    <w:rsid w:val="00E822D1"/>
    <w:rsid w:val="00E82614"/>
    <w:rsid w:val="00E838AC"/>
    <w:rsid w:val="00E8398A"/>
    <w:rsid w:val="00E848D4"/>
    <w:rsid w:val="00E84B34"/>
    <w:rsid w:val="00E85943"/>
    <w:rsid w:val="00E85AAD"/>
    <w:rsid w:val="00E869DB"/>
    <w:rsid w:val="00E86D4C"/>
    <w:rsid w:val="00E87C70"/>
    <w:rsid w:val="00E907CA"/>
    <w:rsid w:val="00E90E0C"/>
    <w:rsid w:val="00E91436"/>
    <w:rsid w:val="00E933DA"/>
    <w:rsid w:val="00E939B1"/>
    <w:rsid w:val="00E93DC3"/>
    <w:rsid w:val="00E93DD0"/>
    <w:rsid w:val="00E9428F"/>
    <w:rsid w:val="00E948FC"/>
    <w:rsid w:val="00E95286"/>
    <w:rsid w:val="00E953C2"/>
    <w:rsid w:val="00E95414"/>
    <w:rsid w:val="00E9566B"/>
    <w:rsid w:val="00E95C84"/>
    <w:rsid w:val="00E95D92"/>
    <w:rsid w:val="00E9695B"/>
    <w:rsid w:val="00E96D42"/>
    <w:rsid w:val="00EA0502"/>
    <w:rsid w:val="00EA28BE"/>
    <w:rsid w:val="00EA2EFA"/>
    <w:rsid w:val="00EA30A6"/>
    <w:rsid w:val="00EA4103"/>
    <w:rsid w:val="00EA4420"/>
    <w:rsid w:val="00EA5232"/>
    <w:rsid w:val="00EA5257"/>
    <w:rsid w:val="00EA53F4"/>
    <w:rsid w:val="00EA5648"/>
    <w:rsid w:val="00EA59ED"/>
    <w:rsid w:val="00EA5CCE"/>
    <w:rsid w:val="00EA60D6"/>
    <w:rsid w:val="00EA610F"/>
    <w:rsid w:val="00EA61C2"/>
    <w:rsid w:val="00EA6F1D"/>
    <w:rsid w:val="00EB0014"/>
    <w:rsid w:val="00EB0785"/>
    <w:rsid w:val="00EB1DB6"/>
    <w:rsid w:val="00EB31D8"/>
    <w:rsid w:val="00EB3295"/>
    <w:rsid w:val="00EB3E72"/>
    <w:rsid w:val="00EB4154"/>
    <w:rsid w:val="00EB4547"/>
    <w:rsid w:val="00EB45F0"/>
    <w:rsid w:val="00EB467A"/>
    <w:rsid w:val="00EB4D22"/>
    <w:rsid w:val="00EB5F66"/>
    <w:rsid w:val="00EB6C9C"/>
    <w:rsid w:val="00EC08B4"/>
    <w:rsid w:val="00EC0D54"/>
    <w:rsid w:val="00EC1891"/>
    <w:rsid w:val="00EC1DA1"/>
    <w:rsid w:val="00EC1DE6"/>
    <w:rsid w:val="00EC2002"/>
    <w:rsid w:val="00EC22F5"/>
    <w:rsid w:val="00EC288E"/>
    <w:rsid w:val="00EC46E6"/>
    <w:rsid w:val="00EC67F2"/>
    <w:rsid w:val="00EC6B9E"/>
    <w:rsid w:val="00EC76F8"/>
    <w:rsid w:val="00EC7DBD"/>
    <w:rsid w:val="00ED044B"/>
    <w:rsid w:val="00ED1493"/>
    <w:rsid w:val="00ED1732"/>
    <w:rsid w:val="00ED237C"/>
    <w:rsid w:val="00ED25A6"/>
    <w:rsid w:val="00ED42F7"/>
    <w:rsid w:val="00ED436C"/>
    <w:rsid w:val="00ED5B0A"/>
    <w:rsid w:val="00ED65F7"/>
    <w:rsid w:val="00ED7173"/>
    <w:rsid w:val="00ED7364"/>
    <w:rsid w:val="00ED7494"/>
    <w:rsid w:val="00ED7672"/>
    <w:rsid w:val="00EE001E"/>
    <w:rsid w:val="00EE16AC"/>
    <w:rsid w:val="00EE16FC"/>
    <w:rsid w:val="00EE1900"/>
    <w:rsid w:val="00EE1D4B"/>
    <w:rsid w:val="00EE2BB2"/>
    <w:rsid w:val="00EE3124"/>
    <w:rsid w:val="00EE36A3"/>
    <w:rsid w:val="00EE3A92"/>
    <w:rsid w:val="00EE4915"/>
    <w:rsid w:val="00EE5133"/>
    <w:rsid w:val="00EE54D8"/>
    <w:rsid w:val="00EE5573"/>
    <w:rsid w:val="00EE5929"/>
    <w:rsid w:val="00EE5AC5"/>
    <w:rsid w:val="00EE5E45"/>
    <w:rsid w:val="00EE5F2A"/>
    <w:rsid w:val="00EE60B3"/>
    <w:rsid w:val="00EE675B"/>
    <w:rsid w:val="00EE684E"/>
    <w:rsid w:val="00EE6C68"/>
    <w:rsid w:val="00EE6E59"/>
    <w:rsid w:val="00EE6E8A"/>
    <w:rsid w:val="00EE7D40"/>
    <w:rsid w:val="00EE7E37"/>
    <w:rsid w:val="00EF02B4"/>
    <w:rsid w:val="00EF046E"/>
    <w:rsid w:val="00EF1885"/>
    <w:rsid w:val="00EF196A"/>
    <w:rsid w:val="00EF2CFA"/>
    <w:rsid w:val="00EF3267"/>
    <w:rsid w:val="00EF5C30"/>
    <w:rsid w:val="00EF5ED3"/>
    <w:rsid w:val="00EF61F5"/>
    <w:rsid w:val="00EF64AF"/>
    <w:rsid w:val="00EF6599"/>
    <w:rsid w:val="00EF6B06"/>
    <w:rsid w:val="00EF7158"/>
    <w:rsid w:val="00EF73A0"/>
    <w:rsid w:val="00EF7B5E"/>
    <w:rsid w:val="00EF7C2F"/>
    <w:rsid w:val="00F0018C"/>
    <w:rsid w:val="00F007A7"/>
    <w:rsid w:val="00F007B8"/>
    <w:rsid w:val="00F00A73"/>
    <w:rsid w:val="00F00B7C"/>
    <w:rsid w:val="00F01CFD"/>
    <w:rsid w:val="00F028D3"/>
    <w:rsid w:val="00F0293E"/>
    <w:rsid w:val="00F02E02"/>
    <w:rsid w:val="00F03615"/>
    <w:rsid w:val="00F039A5"/>
    <w:rsid w:val="00F03AAA"/>
    <w:rsid w:val="00F03E00"/>
    <w:rsid w:val="00F040BB"/>
    <w:rsid w:val="00F05439"/>
    <w:rsid w:val="00F066C8"/>
    <w:rsid w:val="00F07617"/>
    <w:rsid w:val="00F0798E"/>
    <w:rsid w:val="00F07B9B"/>
    <w:rsid w:val="00F07FC7"/>
    <w:rsid w:val="00F100EE"/>
    <w:rsid w:val="00F11064"/>
    <w:rsid w:val="00F110A9"/>
    <w:rsid w:val="00F11DDB"/>
    <w:rsid w:val="00F13032"/>
    <w:rsid w:val="00F13310"/>
    <w:rsid w:val="00F139DA"/>
    <w:rsid w:val="00F13A28"/>
    <w:rsid w:val="00F13DC1"/>
    <w:rsid w:val="00F143C6"/>
    <w:rsid w:val="00F1571F"/>
    <w:rsid w:val="00F162F6"/>
    <w:rsid w:val="00F1648E"/>
    <w:rsid w:val="00F16499"/>
    <w:rsid w:val="00F17339"/>
    <w:rsid w:val="00F176F1"/>
    <w:rsid w:val="00F17B37"/>
    <w:rsid w:val="00F17B80"/>
    <w:rsid w:val="00F17DD5"/>
    <w:rsid w:val="00F203A2"/>
    <w:rsid w:val="00F204C1"/>
    <w:rsid w:val="00F20963"/>
    <w:rsid w:val="00F21161"/>
    <w:rsid w:val="00F22AF6"/>
    <w:rsid w:val="00F23006"/>
    <w:rsid w:val="00F23385"/>
    <w:rsid w:val="00F23660"/>
    <w:rsid w:val="00F23BE0"/>
    <w:rsid w:val="00F240CC"/>
    <w:rsid w:val="00F25115"/>
    <w:rsid w:val="00F256C9"/>
    <w:rsid w:val="00F26256"/>
    <w:rsid w:val="00F26316"/>
    <w:rsid w:val="00F26E25"/>
    <w:rsid w:val="00F26F03"/>
    <w:rsid w:val="00F26F2D"/>
    <w:rsid w:val="00F27E5B"/>
    <w:rsid w:val="00F302B9"/>
    <w:rsid w:val="00F30647"/>
    <w:rsid w:val="00F3090C"/>
    <w:rsid w:val="00F30A03"/>
    <w:rsid w:val="00F30C95"/>
    <w:rsid w:val="00F30D39"/>
    <w:rsid w:val="00F30D9D"/>
    <w:rsid w:val="00F3136C"/>
    <w:rsid w:val="00F31BC7"/>
    <w:rsid w:val="00F3262A"/>
    <w:rsid w:val="00F33020"/>
    <w:rsid w:val="00F33751"/>
    <w:rsid w:val="00F34806"/>
    <w:rsid w:val="00F35683"/>
    <w:rsid w:val="00F35754"/>
    <w:rsid w:val="00F35EB3"/>
    <w:rsid w:val="00F368EA"/>
    <w:rsid w:val="00F36A90"/>
    <w:rsid w:val="00F36F13"/>
    <w:rsid w:val="00F370E0"/>
    <w:rsid w:val="00F3737B"/>
    <w:rsid w:val="00F37391"/>
    <w:rsid w:val="00F40117"/>
    <w:rsid w:val="00F40264"/>
    <w:rsid w:val="00F40864"/>
    <w:rsid w:val="00F40BC7"/>
    <w:rsid w:val="00F40C91"/>
    <w:rsid w:val="00F40CBB"/>
    <w:rsid w:val="00F40EF0"/>
    <w:rsid w:val="00F40EFA"/>
    <w:rsid w:val="00F40FE2"/>
    <w:rsid w:val="00F41045"/>
    <w:rsid w:val="00F414E4"/>
    <w:rsid w:val="00F41A67"/>
    <w:rsid w:val="00F42845"/>
    <w:rsid w:val="00F428EF"/>
    <w:rsid w:val="00F43564"/>
    <w:rsid w:val="00F444C3"/>
    <w:rsid w:val="00F45A20"/>
    <w:rsid w:val="00F45B99"/>
    <w:rsid w:val="00F45C73"/>
    <w:rsid w:val="00F45FE7"/>
    <w:rsid w:val="00F46405"/>
    <w:rsid w:val="00F46530"/>
    <w:rsid w:val="00F46647"/>
    <w:rsid w:val="00F467C7"/>
    <w:rsid w:val="00F46C76"/>
    <w:rsid w:val="00F47274"/>
    <w:rsid w:val="00F47462"/>
    <w:rsid w:val="00F51181"/>
    <w:rsid w:val="00F5162D"/>
    <w:rsid w:val="00F521FA"/>
    <w:rsid w:val="00F523B8"/>
    <w:rsid w:val="00F5248C"/>
    <w:rsid w:val="00F529A0"/>
    <w:rsid w:val="00F5340D"/>
    <w:rsid w:val="00F53501"/>
    <w:rsid w:val="00F5358F"/>
    <w:rsid w:val="00F546A0"/>
    <w:rsid w:val="00F54C92"/>
    <w:rsid w:val="00F564D5"/>
    <w:rsid w:val="00F56C64"/>
    <w:rsid w:val="00F57892"/>
    <w:rsid w:val="00F57C9E"/>
    <w:rsid w:val="00F60ABB"/>
    <w:rsid w:val="00F618D0"/>
    <w:rsid w:val="00F63590"/>
    <w:rsid w:val="00F668C3"/>
    <w:rsid w:val="00F66B76"/>
    <w:rsid w:val="00F66FF6"/>
    <w:rsid w:val="00F67B24"/>
    <w:rsid w:val="00F702D8"/>
    <w:rsid w:val="00F70665"/>
    <w:rsid w:val="00F706CC"/>
    <w:rsid w:val="00F70994"/>
    <w:rsid w:val="00F70D96"/>
    <w:rsid w:val="00F71803"/>
    <w:rsid w:val="00F71FD5"/>
    <w:rsid w:val="00F72A99"/>
    <w:rsid w:val="00F7326D"/>
    <w:rsid w:val="00F73745"/>
    <w:rsid w:val="00F73F38"/>
    <w:rsid w:val="00F74043"/>
    <w:rsid w:val="00F74075"/>
    <w:rsid w:val="00F7511B"/>
    <w:rsid w:val="00F75A08"/>
    <w:rsid w:val="00F76F09"/>
    <w:rsid w:val="00F770E9"/>
    <w:rsid w:val="00F77D55"/>
    <w:rsid w:val="00F80FA0"/>
    <w:rsid w:val="00F81B9F"/>
    <w:rsid w:val="00F82ED6"/>
    <w:rsid w:val="00F833A4"/>
    <w:rsid w:val="00F83D69"/>
    <w:rsid w:val="00F83EC3"/>
    <w:rsid w:val="00F83EEA"/>
    <w:rsid w:val="00F84FE8"/>
    <w:rsid w:val="00F851F7"/>
    <w:rsid w:val="00F85777"/>
    <w:rsid w:val="00F86619"/>
    <w:rsid w:val="00F86958"/>
    <w:rsid w:val="00F87A47"/>
    <w:rsid w:val="00F901CB"/>
    <w:rsid w:val="00F90FAA"/>
    <w:rsid w:val="00F926D9"/>
    <w:rsid w:val="00F927F5"/>
    <w:rsid w:val="00F92BAE"/>
    <w:rsid w:val="00F93C4A"/>
    <w:rsid w:val="00F93F74"/>
    <w:rsid w:val="00F9452B"/>
    <w:rsid w:val="00F94A09"/>
    <w:rsid w:val="00F95133"/>
    <w:rsid w:val="00F9571B"/>
    <w:rsid w:val="00F960AA"/>
    <w:rsid w:val="00F96280"/>
    <w:rsid w:val="00F972D2"/>
    <w:rsid w:val="00F97606"/>
    <w:rsid w:val="00F97C09"/>
    <w:rsid w:val="00FA083D"/>
    <w:rsid w:val="00FA08D2"/>
    <w:rsid w:val="00FA0AD2"/>
    <w:rsid w:val="00FA0C87"/>
    <w:rsid w:val="00FA1547"/>
    <w:rsid w:val="00FA1653"/>
    <w:rsid w:val="00FA4347"/>
    <w:rsid w:val="00FA4E75"/>
    <w:rsid w:val="00FA5094"/>
    <w:rsid w:val="00FA61D0"/>
    <w:rsid w:val="00FA6BDC"/>
    <w:rsid w:val="00FA6EAF"/>
    <w:rsid w:val="00FA7289"/>
    <w:rsid w:val="00FA7B96"/>
    <w:rsid w:val="00FB008C"/>
    <w:rsid w:val="00FB039F"/>
    <w:rsid w:val="00FB23C1"/>
    <w:rsid w:val="00FB23FA"/>
    <w:rsid w:val="00FB39F9"/>
    <w:rsid w:val="00FB3B67"/>
    <w:rsid w:val="00FB4E04"/>
    <w:rsid w:val="00FB4FFC"/>
    <w:rsid w:val="00FB5553"/>
    <w:rsid w:val="00FB5596"/>
    <w:rsid w:val="00FB5958"/>
    <w:rsid w:val="00FB68D1"/>
    <w:rsid w:val="00FB6A02"/>
    <w:rsid w:val="00FB6BB5"/>
    <w:rsid w:val="00FB7100"/>
    <w:rsid w:val="00FC09FC"/>
    <w:rsid w:val="00FC0F7B"/>
    <w:rsid w:val="00FC1497"/>
    <w:rsid w:val="00FC1833"/>
    <w:rsid w:val="00FC1FDD"/>
    <w:rsid w:val="00FC20A1"/>
    <w:rsid w:val="00FC20B7"/>
    <w:rsid w:val="00FC263C"/>
    <w:rsid w:val="00FC2B7F"/>
    <w:rsid w:val="00FC349F"/>
    <w:rsid w:val="00FC36FD"/>
    <w:rsid w:val="00FC3AA1"/>
    <w:rsid w:val="00FC4D05"/>
    <w:rsid w:val="00FC4FF3"/>
    <w:rsid w:val="00FC5610"/>
    <w:rsid w:val="00FC5E53"/>
    <w:rsid w:val="00FC60BB"/>
    <w:rsid w:val="00FC626F"/>
    <w:rsid w:val="00FC664F"/>
    <w:rsid w:val="00FC6736"/>
    <w:rsid w:val="00FC6EB0"/>
    <w:rsid w:val="00FC6F4A"/>
    <w:rsid w:val="00FC7E39"/>
    <w:rsid w:val="00FD0D8F"/>
    <w:rsid w:val="00FD0F91"/>
    <w:rsid w:val="00FD14ED"/>
    <w:rsid w:val="00FD1DD1"/>
    <w:rsid w:val="00FD217E"/>
    <w:rsid w:val="00FD2822"/>
    <w:rsid w:val="00FD370E"/>
    <w:rsid w:val="00FD40F4"/>
    <w:rsid w:val="00FD58B3"/>
    <w:rsid w:val="00FD6893"/>
    <w:rsid w:val="00FD6BB4"/>
    <w:rsid w:val="00FD71A8"/>
    <w:rsid w:val="00FD7E75"/>
    <w:rsid w:val="00FE078F"/>
    <w:rsid w:val="00FE0B83"/>
    <w:rsid w:val="00FE0EFA"/>
    <w:rsid w:val="00FE1103"/>
    <w:rsid w:val="00FE110E"/>
    <w:rsid w:val="00FE12AA"/>
    <w:rsid w:val="00FE1B4E"/>
    <w:rsid w:val="00FE23FD"/>
    <w:rsid w:val="00FE24E2"/>
    <w:rsid w:val="00FE2A75"/>
    <w:rsid w:val="00FE3098"/>
    <w:rsid w:val="00FE3218"/>
    <w:rsid w:val="00FE33C5"/>
    <w:rsid w:val="00FE3878"/>
    <w:rsid w:val="00FE3D2B"/>
    <w:rsid w:val="00FE478B"/>
    <w:rsid w:val="00FE4861"/>
    <w:rsid w:val="00FE4B40"/>
    <w:rsid w:val="00FE5966"/>
    <w:rsid w:val="00FE5B2B"/>
    <w:rsid w:val="00FE6066"/>
    <w:rsid w:val="00FE6B3F"/>
    <w:rsid w:val="00FE6E90"/>
    <w:rsid w:val="00FE705A"/>
    <w:rsid w:val="00FE70D5"/>
    <w:rsid w:val="00FE7557"/>
    <w:rsid w:val="00FE7639"/>
    <w:rsid w:val="00FE7873"/>
    <w:rsid w:val="00FF0162"/>
    <w:rsid w:val="00FF03B5"/>
    <w:rsid w:val="00FF07AB"/>
    <w:rsid w:val="00FF0870"/>
    <w:rsid w:val="00FF0B51"/>
    <w:rsid w:val="00FF0D11"/>
    <w:rsid w:val="00FF1240"/>
    <w:rsid w:val="00FF1DB8"/>
    <w:rsid w:val="00FF2D72"/>
    <w:rsid w:val="00FF412D"/>
    <w:rsid w:val="00FF41DE"/>
    <w:rsid w:val="00FF4872"/>
    <w:rsid w:val="00FF48CF"/>
    <w:rsid w:val="00FF4B50"/>
    <w:rsid w:val="00FF5618"/>
    <w:rsid w:val="00FF6919"/>
    <w:rsid w:val="00FF6BCF"/>
    <w:rsid w:val="00FF6D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49EE9"/>
  <w15:docId w15:val="{9BF1BBD7-A1C2-4883-A1C3-C0552C49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E72"/>
    <w:pPr>
      <w:widowControl w:val="0"/>
    </w:pPr>
    <w:rPr>
      <w:szCs w:val="22"/>
    </w:rPr>
  </w:style>
  <w:style w:type="paragraph" w:styleId="10">
    <w:name w:val="heading 1"/>
    <w:basedOn w:val="2"/>
    <w:next w:val="a"/>
    <w:link w:val="11"/>
    <w:uiPriority w:val="9"/>
    <w:qFormat/>
    <w:rsid w:val="005B555C"/>
    <w:pPr>
      <w:spacing w:line="240" w:lineRule="auto"/>
      <w:outlineLvl w:val="0"/>
    </w:pPr>
    <w:rPr>
      <w:rFonts w:ascii="標楷體" w:eastAsia="標楷體" w:hAnsi="標楷體"/>
      <w:sz w:val="24"/>
      <w:szCs w:val="24"/>
    </w:rPr>
  </w:style>
  <w:style w:type="paragraph" w:styleId="20">
    <w:name w:val="heading 2"/>
    <w:basedOn w:val="a"/>
    <w:next w:val="a"/>
    <w:link w:val="21"/>
    <w:uiPriority w:val="9"/>
    <w:semiHidden/>
    <w:unhideWhenUsed/>
    <w:qFormat/>
    <w:rsid w:val="00D91F6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D91F6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5B555C"/>
    <w:rPr>
      <w:rFonts w:ascii="標楷體" w:eastAsia="標楷體" w:hAnsi="標楷體" w:cs="Times New Roman"/>
      <w:b/>
    </w:rPr>
  </w:style>
  <w:style w:type="character" w:customStyle="1" w:styleId="21">
    <w:name w:val="標題 2 字元"/>
    <w:basedOn w:val="a0"/>
    <w:link w:val="20"/>
    <w:uiPriority w:val="9"/>
    <w:semiHidden/>
    <w:rsid w:val="00D91F6C"/>
    <w:rPr>
      <w:rFonts w:asciiTheme="majorHAnsi" w:eastAsiaTheme="majorEastAsia" w:hAnsiTheme="majorHAnsi" w:cstheme="majorBidi"/>
      <w:b/>
      <w:bCs/>
      <w:sz w:val="48"/>
      <w:szCs w:val="48"/>
    </w:rPr>
  </w:style>
  <w:style w:type="character" w:customStyle="1" w:styleId="30">
    <w:name w:val="標題 3 字元"/>
    <w:basedOn w:val="a0"/>
    <w:link w:val="3"/>
    <w:uiPriority w:val="9"/>
    <w:rsid w:val="00D91F6C"/>
    <w:rPr>
      <w:rFonts w:asciiTheme="majorHAnsi" w:eastAsiaTheme="majorEastAsia" w:hAnsiTheme="majorHAnsi" w:cstheme="majorBidi"/>
      <w:b/>
      <w:bCs/>
      <w:sz w:val="36"/>
      <w:szCs w:val="36"/>
    </w:rPr>
  </w:style>
  <w:style w:type="paragraph" w:styleId="a3">
    <w:name w:val="Balloon Text"/>
    <w:basedOn w:val="a"/>
    <w:link w:val="a4"/>
    <w:uiPriority w:val="99"/>
    <w:semiHidden/>
    <w:unhideWhenUsed/>
    <w:rsid w:val="00DE546F"/>
    <w:rPr>
      <w:rFonts w:ascii="Lucida Grande" w:hAnsi="Lucida Grande" w:cs="Lucida Grande"/>
      <w:sz w:val="18"/>
      <w:szCs w:val="18"/>
    </w:rPr>
  </w:style>
  <w:style w:type="character" w:customStyle="1" w:styleId="a4">
    <w:name w:val="註解方塊文字 字元"/>
    <w:basedOn w:val="a0"/>
    <w:link w:val="a3"/>
    <w:uiPriority w:val="99"/>
    <w:semiHidden/>
    <w:rsid w:val="00DE546F"/>
    <w:rPr>
      <w:rFonts w:ascii="Lucida Grande" w:hAnsi="Lucida Grande" w:cs="Lucida Grande"/>
      <w:sz w:val="18"/>
      <w:szCs w:val="18"/>
      <w:lang w:val="en-GB"/>
    </w:rPr>
  </w:style>
  <w:style w:type="paragraph" w:customStyle="1" w:styleId="12">
    <w:name w:val="1"/>
    <w:basedOn w:val="a"/>
    <w:qFormat/>
    <w:rsid w:val="008A6B24"/>
    <w:pPr>
      <w:jc w:val="center"/>
    </w:pPr>
    <w:rPr>
      <w:rFonts w:ascii="Times New Roman" w:eastAsia="Times New Roman" w:hAnsi="Times New Roman" w:cs="Times New Roman"/>
      <w:b/>
      <w:sz w:val="32"/>
    </w:rPr>
  </w:style>
  <w:style w:type="paragraph" w:customStyle="1" w:styleId="2">
    <w:name w:val="2"/>
    <w:basedOn w:val="a"/>
    <w:qFormat/>
    <w:rsid w:val="008A6B24"/>
    <w:pPr>
      <w:spacing w:line="0" w:lineRule="atLeast"/>
      <w:jc w:val="both"/>
    </w:pPr>
    <w:rPr>
      <w:rFonts w:ascii="Times New Roman" w:eastAsia="Times New Roman" w:hAnsi="Times New Roman" w:cs="Times New Roman"/>
      <w:b/>
      <w:sz w:val="28"/>
    </w:rPr>
  </w:style>
  <w:style w:type="paragraph" w:styleId="a5">
    <w:name w:val="Title"/>
    <w:aliases w:val="3"/>
    <w:basedOn w:val="a"/>
    <w:next w:val="a"/>
    <w:link w:val="a6"/>
    <w:uiPriority w:val="10"/>
    <w:qFormat/>
    <w:rsid w:val="008A6B24"/>
    <w:pPr>
      <w:outlineLvl w:val="0"/>
    </w:pPr>
    <w:rPr>
      <w:rFonts w:asciiTheme="majorHAnsi" w:eastAsia="Times New Roman" w:hAnsiTheme="majorHAnsi" w:cstheme="majorBidi"/>
      <w:bCs/>
      <w:szCs w:val="32"/>
    </w:rPr>
  </w:style>
  <w:style w:type="character" w:customStyle="1" w:styleId="a6">
    <w:name w:val="標題 字元"/>
    <w:aliases w:val="3 字元"/>
    <w:basedOn w:val="a0"/>
    <w:link w:val="a5"/>
    <w:uiPriority w:val="10"/>
    <w:rsid w:val="008A6B24"/>
    <w:rPr>
      <w:rFonts w:asciiTheme="majorHAnsi" w:eastAsia="Times New Roman" w:hAnsiTheme="majorHAnsi" w:cstheme="majorBidi"/>
      <w:bCs/>
      <w:szCs w:val="32"/>
      <w:lang w:val="en-GB"/>
    </w:rPr>
  </w:style>
  <w:style w:type="paragraph" w:styleId="a7">
    <w:name w:val="List Paragraph"/>
    <w:aliases w:val="卑南壹,詳細說明,表名,List Paragraph1,Recommendation,Footnote Sam,List Paragraph (numbered (a)),Text,Noise heading,RUS List,Rec para,Dot pt,F5 List Paragraph,No Spacing1,List Paragraph Char Char Char,Indicator Text,Numbered Para 1,numbered,L"/>
    <w:basedOn w:val="a"/>
    <w:link w:val="a8"/>
    <w:qFormat/>
    <w:rsid w:val="00EB3E72"/>
    <w:pPr>
      <w:ind w:leftChars="200" w:left="480"/>
    </w:pPr>
  </w:style>
  <w:style w:type="paragraph" w:styleId="a9">
    <w:name w:val="footnote text"/>
    <w:basedOn w:val="a"/>
    <w:link w:val="aa"/>
    <w:uiPriority w:val="99"/>
    <w:unhideWhenUsed/>
    <w:rsid w:val="00EB3E72"/>
    <w:pPr>
      <w:snapToGrid w:val="0"/>
    </w:pPr>
    <w:rPr>
      <w:sz w:val="20"/>
      <w:szCs w:val="20"/>
    </w:rPr>
  </w:style>
  <w:style w:type="character" w:customStyle="1" w:styleId="aa">
    <w:name w:val="註腳文字 字元"/>
    <w:basedOn w:val="a0"/>
    <w:link w:val="a9"/>
    <w:uiPriority w:val="99"/>
    <w:rsid w:val="00EB3E72"/>
    <w:rPr>
      <w:sz w:val="20"/>
      <w:szCs w:val="20"/>
    </w:rPr>
  </w:style>
  <w:style w:type="character" w:styleId="ab">
    <w:name w:val="footnote reference"/>
    <w:basedOn w:val="a0"/>
    <w:uiPriority w:val="99"/>
    <w:unhideWhenUsed/>
    <w:rsid w:val="00EB3E72"/>
    <w:rPr>
      <w:vertAlign w:val="superscript"/>
    </w:rPr>
  </w:style>
  <w:style w:type="character" w:styleId="ac">
    <w:name w:val="Hyperlink"/>
    <w:basedOn w:val="a0"/>
    <w:uiPriority w:val="99"/>
    <w:unhideWhenUsed/>
    <w:rsid w:val="00EE1900"/>
    <w:rPr>
      <w:color w:val="0000FF" w:themeColor="hyperlink"/>
      <w:u w:val="single"/>
    </w:rPr>
  </w:style>
  <w:style w:type="paragraph" w:customStyle="1" w:styleId="13">
    <w:name w:val="註腳文字1"/>
    <w:basedOn w:val="a"/>
    <w:next w:val="a9"/>
    <w:uiPriority w:val="99"/>
    <w:semiHidden/>
    <w:unhideWhenUsed/>
    <w:rsid w:val="00531F4F"/>
    <w:pPr>
      <w:snapToGrid w:val="0"/>
    </w:pPr>
    <w:rPr>
      <w:sz w:val="20"/>
      <w:szCs w:val="20"/>
      <w:lang w:val="en-GB"/>
    </w:rPr>
  </w:style>
  <w:style w:type="table" w:styleId="ad">
    <w:name w:val="Table Grid"/>
    <w:basedOn w:val="a1"/>
    <w:uiPriority w:val="39"/>
    <w:rsid w:val="00AB1A8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Intense Reference"/>
    <w:basedOn w:val="a0"/>
    <w:uiPriority w:val="32"/>
    <w:qFormat/>
    <w:rsid w:val="00166D07"/>
    <w:rPr>
      <w:b/>
      <w:bCs/>
      <w:smallCaps/>
      <w:color w:val="4F81BD" w:themeColor="accent1"/>
      <w:spacing w:val="5"/>
    </w:rPr>
  </w:style>
  <w:style w:type="character" w:customStyle="1" w:styleId="HTML">
    <w:name w:val="HTML 預設格式 字元"/>
    <w:basedOn w:val="a0"/>
    <w:link w:val="HTML0"/>
    <w:uiPriority w:val="99"/>
    <w:semiHidden/>
    <w:rsid w:val="00D91F6C"/>
    <w:rPr>
      <w:rFonts w:ascii="Courier New" w:hAnsi="Courier New" w:cs="Courier New"/>
      <w:sz w:val="20"/>
      <w:szCs w:val="20"/>
    </w:rPr>
  </w:style>
  <w:style w:type="paragraph" w:styleId="HTML0">
    <w:name w:val="HTML Preformatted"/>
    <w:basedOn w:val="a"/>
    <w:link w:val="HTML"/>
    <w:uiPriority w:val="99"/>
    <w:semiHidden/>
    <w:unhideWhenUsed/>
    <w:rsid w:val="00D91F6C"/>
    <w:rPr>
      <w:rFonts w:ascii="Courier New" w:hAnsi="Courier New" w:cs="Courier New"/>
      <w:sz w:val="20"/>
      <w:szCs w:val="20"/>
    </w:rPr>
  </w:style>
  <w:style w:type="paragraph" w:styleId="af">
    <w:name w:val="header"/>
    <w:basedOn w:val="a"/>
    <w:link w:val="af0"/>
    <w:uiPriority w:val="99"/>
    <w:unhideWhenUsed/>
    <w:rsid w:val="00D91F6C"/>
    <w:pPr>
      <w:tabs>
        <w:tab w:val="center" w:pos="4153"/>
        <w:tab w:val="right" w:pos="8306"/>
      </w:tabs>
      <w:snapToGrid w:val="0"/>
    </w:pPr>
    <w:rPr>
      <w:sz w:val="20"/>
      <w:szCs w:val="20"/>
    </w:rPr>
  </w:style>
  <w:style w:type="character" w:customStyle="1" w:styleId="af0">
    <w:name w:val="頁首 字元"/>
    <w:basedOn w:val="a0"/>
    <w:link w:val="af"/>
    <w:uiPriority w:val="99"/>
    <w:rsid w:val="00D91F6C"/>
    <w:rPr>
      <w:sz w:val="20"/>
      <w:szCs w:val="20"/>
    </w:rPr>
  </w:style>
  <w:style w:type="paragraph" w:styleId="af1">
    <w:name w:val="footer"/>
    <w:basedOn w:val="a"/>
    <w:link w:val="af2"/>
    <w:uiPriority w:val="99"/>
    <w:unhideWhenUsed/>
    <w:rsid w:val="00D91F6C"/>
    <w:pPr>
      <w:tabs>
        <w:tab w:val="center" w:pos="4153"/>
        <w:tab w:val="right" w:pos="8306"/>
      </w:tabs>
      <w:snapToGrid w:val="0"/>
    </w:pPr>
    <w:rPr>
      <w:sz w:val="20"/>
      <w:szCs w:val="20"/>
    </w:rPr>
  </w:style>
  <w:style w:type="character" w:customStyle="1" w:styleId="af2">
    <w:name w:val="頁尾 字元"/>
    <w:basedOn w:val="a0"/>
    <w:link w:val="af1"/>
    <w:uiPriority w:val="99"/>
    <w:rsid w:val="00D91F6C"/>
    <w:rPr>
      <w:sz w:val="20"/>
      <w:szCs w:val="20"/>
    </w:rPr>
  </w:style>
  <w:style w:type="character" w:customStyle="1" w:styleId="af3">
    <w:name w:val="註解文字 字元"/>
    <w:basedOn w:val="a0"/>
    <w:link w:val="af4"/>
    <w:uiPriority w:val="99"/>
    <w:rsid w:val="00D91F6C"/>
    <w:rPr>
      <w:szCs w:val="22"/>
    </w:rPr>
  </w:style>
  <w:style w:type="paragraph" w:styleId="af4">
    <w:name w:val="annotation text"/>
    <w:basedOn w:val="a"/>
    <w:link w:val="af3"/>
    <w:uiPriority w:val="99"/>
    <w:unhideWhenUsed/>
    <w:rsid w:val="00D91F6C"/>
  </w:style>
  <w:style w:type="character" w:customStyle="1" w:styleId="af5">
    <w:name w:val="註解主旨 字元"/>
    <w:basedOn w:val="af3"/>
    <w:link w:val="af6"/>
    <w:uiPriority w:val="99"/>
    <w:semiHidden/>
    <w:rsid w:val="00D91F6C"/>
    <w:rPr>
      <w:b/>
      <w:bCs/>
      <w:szCs w:val="22"/>
    </w:rPr>
  </w:style>
  <w:style w:type="paragraph" w:styleId="af6">
    <w:name w:val="annotation subject"/>
    <w:basedOn w:val="af4"/>
    <w:next w:val="af4"/>
    <w:link w:val="af5"/>
    <w:uiPriority w:val="99"/>
    <w:semiHidden/>
    <w:unhideWhenUsed/>
    <w:rsid w:val="00D91F6C"/>
    <w:rPr>
      <w:b/>
      <w:bCs/>
    </w:rPr>
  </w:style>
  <w:style w:type="paragraph" w:styleId="14">
    <w:name w:val="toc 1"/>
    <w:basedOn w:val="a"/>
    <w:next w:val="a"/>
    <w:autoRedefine/>
    <w:uiPriority w:val="39"/>
    <w:unhideWhenUsed/>
    <w:rsid w:val="00D91F6C"/>
    <w:pPr>
      <w:spacing w:before="120"/>
    </w:pPr>
    <w:rPr>
      <w:b/>
      <w:szCs w:val="24"/>
    </w:rPr>
  </w:style>
  <w:style w:type="paragraph" w:styleId="22">
    <w:name w:val="toc 2"/>
    <w:basedOn w:val="a"/>
    <w:next w:val="a"/>
    <w:autoRedefine/>
    <w:uiPriority w:val="39"/>
    <w:unhideWhenUsed/>
    <w:rsid w:val="00576228"/>
    <w:pPr>
      <w:ind w:left="240"/>
    </w:pPr>
    <w:rPr>
      <w:b/>
      <w:sz w:val="22"/>
    </w:rPr>
  </w:style>
  <w:style w:type="paragraph" w:styleId="31">
    <w:name w:val="toc 3"/>
    <w:basedOn w:val="a"/>
    <w:next w:val="a"/>
    <w:autoRedefine/>
    <w:uiPriority w:val="39"/>
    <w:unhideWhenUsed/>
    <w:rsid w:val="00576228"/>
    <w:pPr>
      <w:ind w:left="480"/>
    </w:pPr>
    <w:rPr>
      <w:sz w:val="22"/>
    </w:rPr>
  </w:style>
  <w:style w:type="paragraph" w:styleId="4">
    <w:name w:val="toc 4"/>
    <w:basedOn w:val="a"/>
    <w:next w:val="a"/>
    <w:autoRedefine/>
    <w:uiPriority w:val="39"/>
    <w:unhideWhenUsed/>
    <w:rsid w:val="00576228"/>
    <w:pPr>
      <w:ind w:left="720"/>
    </w:pPr>
    <w:rPr>
      <w:sz w:val="20"/>
      <w:szCs w:val="20"/>
    </w:rPr>
  </w:style>
  <w:style w:type="paragraph" w:styleId="5">
    <w:name w:val="toc 5"/>
    <w:basedOn w:val="a"/>
    <w:next w:val="a"/>
    <w:autoRedefine/>
    <w:uiPriority w:val="39"/>
    <w:unhideWhenUsed/>
    <w:rsid w:val="00576228"/>
    <w:pPr>
      <w:ind w:left="960"/>
    </w:pPr>
    <w:rPr>
      <w:sz w:val="20"/>
      <w:szCs w:val="20"/>
    </w:rPr>
  </w:style>
  <w:style w:type="paragraph" w:styleId="6">
    <w:name w:val="toc 6"/>
    <w:basedOn w:val="a"/>
    <w:next w:val="a"/>
    <w:autoRedefine/>
    <w:uiPriority w:val="39"/>
    <w:unhideWhenUsed/>
    <w:rsid w:val="00576228"/>
    <w:pPr>
      <w:ind w:left="1200"/>
    </w:pPr>
    <w:rPr>
      <w:sz w:val="20"/>
      <w:szCs w:val="20"/>
    </w:rPr>
  </w:style>
  <w:style w:type="paragraph" w:styleId="7">
    <w:name w:val="toc 7"/>
    <w:basedOn w:val="a"/>
    <w:next w:val="a"/>
    <w:autoRedefine/>
    <w:uiPriority w:val="39"/>
    <w:unhideWhenUsed/>
    <w:rsid w:val="00576228"/>
    <w:pPr>
      <w:ind w:left="1440"/>
    </w:pPr>
    <w:rPr>
      <w:sz w:val="20"/>
      <w:szCs w:val="20"/>
    </w:rPr>
  </w:style>
  <w:style w:type="paragraph" w:styleId="8">
    <w:name w:val="toc 8"/>
    <w:basedOn w:val="a"/>
    <w:next w:val="a"/>
    <w:autoRedefine/>
    <w:uiPriority w:val="39"/>
    <w:unhideWhenUsed/>
    <w:rsid w:val="00576228"/>
    <w:pPr>
      <w:ind w:left="1680"/>
    </w:pPr>
    <w:rPr>
      <w:sz w:val="20"/>
      <w:szCs w:val="20"/>
    </w:rPr>
  </w:style>
  <w:style w:type="paragraph" w:styleId="9">
    <w:name w:val="toc 9"/>
    <w:basedOn w:val="a"/>
    <w:next w:val="a"/>
    <w:autoRedefine/>
    <w:uiPriority w:val="39"/>
    <w:unhideWhenUsed/>
    <w:rsid w:val="00576228"/>
    <w:pPr>
      <w:ind w:left="1920"/>
    </w:pPr>
    <w:rPr>
      <w:sz w:val="20"/>
      <w:szCs w:val="20"/>
    </w:rPr>
  </w:style>
  <w:style w:type="character" w:styleId="af7">
    <w:name w:val="page number"/>
    <w:basedOn w:val="a0"/>
    <w:uiPriority w:val="99"/>
    <w:semiHidden/>
    <w:unhideWhenUsed/>
    <w:rsid w:val="00576228"/>
  </w:style>
  <w:style w:type="character" w:customStyle="1" w:styleId="a8">
    <w:name w:val="清單段落 字元"/>
    <w:aliases w:val="卑南壹 字元,詳細說明 字元,表名 字元,List Paragraph1 字元,Recommendation 字元,Footnote Sam 字元,List Paragraph (numbered (a)) 字元,Text 字元,Noise heading 字元,RUS List 字元,Rec para 字元,Dot pt 字元,F5 List Paragraph 字元,No Spacing1 字元,List Paragraph Char Char Char 字元,L 字元"/>
    <w:link w:val="a7"/>
    <w:qFormat/>
    <w:locked/>
    <w:rsid w:val="00FD0F91"/>
    <w:rPr>
      <w:szCs w:val="22"/>
    </w:rPr>
  </w:style>
  <w:style w:type="paragraph" w:styleId="af8">
    <w:name w:val="endnote text"/>
    <w:basedOn w:val="a"/>
    <w:link w:val="af9"/>
    <w:uiPriority w:val="99"/>
    <w:semiHidden/>
    <w:unhideWhenUsed/>
    <w:rsid w:val="0041291C"/>
    <w:pPr>
      <w:snapToGrid w:val="0"/>
    </w:pPr>
  </w:style>
  <w:style w:type="character" w:customStyle="1" w:styleId="af9">
    <w:name w:val="章節附註文字 字元"/>
    <w:basedOn w:val="a0"/>
    <w:link w:val="af8"/>
    <w:uiPriority w:val="99"/>
    <w:semiHidden/>
    <w:rsid w:val="0041291C"/>
    <w:rPr>
      <w:szCs w:val="22"/>
    </w:rPr>
  </w:style>
  <w:style w:type="paragraph" w:customStyle="1" w:styleId="Footnote">
    <w:name w:val="Footnote"/>
    <w:basedOn w:val="a"/>
    <w:rsid w:val="001F1109"/>
    <w:pPr>
      <w:suppressAutoHyphens/>
      <w:autoSpaceDN w:val="0"/>
      <w:snapToGrid w:val="0"/>
      <w:textAlignment w:val="baseline"/>
    </w:pPr>
    <w:rPr>
      <w:rFonts w:ascii="Calibri" w:eastAsia="新細明體" w:hAnsi="Calibri" w:cs="Calibri"/>
      <w:kern w:val="3"/>
      <w:sz w:val="20"/>
      <w:szCs w:val="20"/>
    </w:rPr>
  </w:style>
  <w:style w:type="numbering" w:customStyle="1" w:styleId="WWNum1">
    <w:name w:val="WWNum1"/>
    <w:basedOn w:val="a2"/>
    <w:rsid w:val="001F1109"/>
    <w:pPr>
      <w:numPr>
        <w:numId w:val="3"/>
      </w:numPr>
    </w:pPr>
  </w:style>
  <w:style w:type="paragraph" w:customStyle="1" w:styleId="Standard">
    <w:name w:val="Standard"/>
    <w:rsid w:val="001F1109"/>
    <w:pPr>
      <w:widowControl w:val="0"/>
      <w:suppressAutoHyphens/>
      <w:autoSpaceDN w:val="0"/>
      <w:textAlignment w:val="baseline"/>
    </w:pPr>
    <w:rPr>
      <w:rFonts w:ascii="Times New Roman" w:eastAsia="標楷體" w:hAnsi="Times New Roman" w:cs="Times New Roman"/>
      <w:kern w:val="3"/>
      <w:szCs w:val="22"/>
    </w:rPr>
  </w:style>
  <w:style w:type="paragraph" w:styleId="Web">
    <w:name w:val="Normal (Web)"/>
    <w:basedOn w:val="Standard"/>
    <w:rsid w:val="001F1109"/>
    <w:pPr>
      <w:widowControl/>
      <w:spacing w:before="280" w:after="280"/>
    </w:pPr>
    <w:rPr>
      <w:rFonts w:ascii="新細明體" w:eastAsia="新細明體" w:hAnsi="新細明體" w:cs="新細明體"/>
      <w:kern w:val="0"/>
      <w:szCs w:val="24"/>
    </w:rPr>
  </w:style>
  <w:style w:type="numbering" w:customStyle="1" w:styleId="1">
    <w:name w:val="無清單1"/>
    <w:basedOn w:val="a2"/>
    <w:rsid w:val="001F1109"/>
    <w:pPr>
      <w:numPr>
        <w:numId w:val="4"/>
      </w:numPr>
    </w:pPr>
  </w:style>
  <w:style w:type="character" w:styleId="afa">
    <w:name w:val="annotation reference"/>
    <w:basedOn w:val="a0"/>
    <w:uiPriority w:val="99"/>
    <w:unhideWhenUsed/>
    <w:rsid w:val="008B2B87"/>
    <w:rPr>
      <w:sz w:val="18"/>
      <w:szCs w:val="18"/>
    </w:rPr>
  </w:style>
  <w:style w:type="paragraph" w:customStyle="1" w:styleId="Default">
    <w:name w:val="Default"/>
    <w:rsid w:val="004C60AD"/>
    <w:pPr>
      <w:widowControl w:val="0"/>
      <w:autoSpaceDE w:val="0"/>
      <w:autoSpaceDN w:val="0"/>
      <w:adjustRightInd w:val="0"/>
    </w:pPr>
    <w:rPr>
      <w:rFonts w:ascii="Times New Roman" w:hAnsi="Times New Roman" w:cs="Times New Roman"/>
      <w:color w:val="000000"/>
      <w:kern w:val="0"/>
    </w:rPr>
  </w:style>
  <w:style w:type="paragraph" w:customStyle="1" w:styleId="Textbody">
    <w:name w:val="Text body"/>
    <w:rsid w:val="0021474C"/>
    <w:pPr>
      <w:widowControl w:val="0"/>
      <w:suppressAutoHyphens/>
      <w:autoSpaceDN w:val="0"/>
      <w:textAlignment w:val="baseline"/>
    </w:pPr>
    <w:rPr>
      <w:rFonts w:ascii="Times New Roman" w:eastAsia="標楷體" w:hAnsi="Times New Roman" w:cs="Times New Roman"/>
      <w:kern w:val="0"/>
      <w:sz w:val="28"/>
      <w:szCs w:val="22"/>
    </w:rPr>
  </w:style>
  <w:style w:type="character" w:styleId="afb">
    <w:name w:val="Emphasis"/>
    <w:basedOn w:val="a0"/>
    <w:uiPriority w:val="20"/>
    <w:qFormat/>
    <w:rsid w:val="00FE6066"/>
    <w:rPr>
      <w:i/>
      <w:iCs/>
    </w:rPr>
  </w:style>
  <w:style w:type="paragraph" w:customStyle="1" w:styleId="cjk">
    <w:name w:val="cjk"/>
    <w:basedOn w:val="a"/>
    <w:rsid w:val="008538AB"/>
    <w:pPr>
      <w:widowControl/>
      <w:spacing w:before="100" w:beforeAutospacing="1"/>
    </w:pPr>
    <w:rPr>
      <w:rFonts w:ascii="新細明體" w:eastAsia="新細明體" w:hAnsi="新細明體" w:cs="新細明體"/>
      <w:kern w:val="0"/>
      <w:szCs w:val="24"/>
    </w:rPr>
  </w:style>
  <w:style w:type="paragraph" w:styleId="afc">
    <w:name w:val="TOC Heading"/>
    <w:basedOn w:val="10"/>
    <w:next w:val="a"/>
    <w:uiPriority w:val="39"/>
    <w:unhideWhenUsed/>
    <w:qFormat/>
    <w:rsid w:val="00241CCB"/>
    <w:pPr>
      <w:keepLines/>
      <w:widowControl/>
      <w:spacing w:before="240" w:line="259" w:lineRule="auto"/>
      <w:outlineLvl w:val="9"/>
    </w:pPr>
    <w:rPr>
      <w:b w:val="0"/>
      <w:bCs/>
      <w:color w:val="365F91" w:themeColor="accent1" w:themeShade="BF"/>
      <w:kern w:val="0"/>
      <w:sz w:val="32"/>
      <w:szCs w:val="32"/>
    </w:rPr>
  </w:style>
  <w:style w:type="character" w:styleId="afd">
    <w:name w:val="FollowedHyperlink"/>
    <w:basedOn w:val="a0"/>
    <w:uiPriority w:val="99"/>
    <w:semiHidden/>
    <w:unhideWhenUsed/>
    <w:rsid w:val="00D622DF"/>
    <w:rPr>
      <w:color w:val="800080" w:themeColor="followedHyperlink"/>
      <w:u w:val="single"/>
    </w:rPr>
  </w:style>
  <w:style w:type="paragraph" w:styleId="afe">
    <w:name w:val="Plain Text"/>
    <w:basedOn w:val="a"/>
    <w:link w:val="aff"/>
    <w:uiPriority w:val="99"/>
    <w:semiHidden/>
    <w:unhideWhenUsed/>
    <w:rsid w:val="00F83D69"/>
    <w:rPr>
      <w:rFonts w:ascii="細明體" w:eastAsia="細明體" w:hAnsi="Courier New" w:cs="Courier New"/>
      <w:szCs w:val="24"/>
    </w:rPr>
  </w:style>
  <w:style w:type="character" w:customStyle="1" w:styleId="aff">
    <w:name w:val="純文字 字元"/>
    <w:basedOn w:val="a0"/>
    <w:link w:val="afe"/>
    <w:uiPriority w:val="99"/>
    <w:semiHidden/>
    <w:rsid w:val="00F83D69"/>
    <w:rPr>
      <w:rFonts w:ascii="細明體" w:eastAsia="細明體" w:hAnsi="Courier New" w:cs="Courier New"/>
    </w:rPr>
  </w:style>
  <w:style w:type="numbering" w:customStyle="1" w:styleId="WWNum2">
    <w:name w:val="WWNum2"/>
    <w:basedOn w:val="a2"/>
    <w:rsid w:val="00C90C73"/>
    <w:pPr>
      <w:numPr>
        <w:numId w:val="17"/>
      </w:numPr>
    </w:pPr>
  </w:style>
  <w:style w:type="numbering" w:customStyle="1" w:styleId="WWNum4">
    <w:name w:val="WWNum4"/>
    <w:basedOn w:val="a2"/>
    <w:rsid w:val="00C90C73"/>
    <w:pPr>
      <w:numPr>
        <w:numId w:val="18"/>
      </w:numPr>
    </w:pPr>
  </w:style>
  <w:style w:type="table" w:customStyle="1" w:styleId="15">
    <w:name w:val="表格格線1"/>
    <w:basedOn w:val="a1"/>
    <w:next w:val="ad"/>
    <w:uiPriority w:val="39"/>
    <w:rsid w:val="006C4DD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
    <w:link w:val="aff1"/>
    <w:autoRedefine/>
    <w:uiPriority w:val="99"/>
    <w:rsid w:val="00F162F6"/>
    <w:pPr>
      <w:adjustRightInd w:val="0"/>
      <w:snapToGrid w:val="0"/>
      <w:spacing w:line="460" w:lineRule="exact"/>
      <w:ind w:leftChars="300" w:left="720" w:firstLineChars="192" w:firstLine="614"/>
      <w:jc w:val="both"/>
    </w:pPr>
    <w:rPr>
      <w:rFonts w:ascii="標楷體" w:eastAsia="標楷體" w:hAnsi="標楷體" w:cs="Times New Roman"/>
      <w:color w:val="000000"/>
      <w:kern w:val="0"/>
      <w:sz w:val="32"/>
      <w:szCs w:val="20"/>
    </w:rPr>
  </w:style>
  <w:style w:type="character" w:customStyle="1" w:styleId="aff1">
    <w:name w:val="本文 字元"/>
    <w:basedOn w:val="a0"/>
    <w:link w:val="aff0"/>
    <w:uiPriority w:val="99"/>
    <w:rsid w:val="00F162F6"/>
    <w:rPr>
      <w:rFonts w:ascii="標楷體" w:eastAsia="標楷體" w:hAnsi="標楷體" w:cs="Times New Roman"/>
      <w:color w:val="000000"/>
      <w:kern w:val="0"/>
      <w:sz w:val="32"/>
      <w:szCs w:val="20"/>
    </w:rPr>
  </w:style>
  <w:style w:type="numbering" w:customStyle="1" w:styleId="List1">
    <w:name w:val="List 1"/>
    <w:basedOn w:val="a2"/>
    <w:rsid w:val="00AC406E"/>
    <w:pPr>
      <w:numPr>
        <w:numId w:val="33"/>
      </w:numPr>
    </w:pPr>
  </w:style>
  <w:style w:type="numbering" w:customStyle="1" w:styleId="List8">
    <w:name w:val="List 8"/>
    <w:basedOn w:val="a2"/>
    <w:rsid w:val="00AC406E"/>
    <w:pPr>
      <w:numPr>
        <w:numId w:val="34"/>
      </w:numPr>
    </w:pPr>
  </w:style>
  <w:style w:type="numbering" w:customStyle="1" w:styleId="List16">
    <w:name w:val="List 16"/>
    <w:basedOn w:val="a2"/>
    <w:rsid w:val="00AC406E"/>
    <w:pPr>
      <w:numPr>
        <w:numId w:val="35"/>
      </w:numPr>
    </w:pPr>
  </w:style>
  <w:style w:type="numbering" w:customStyle="1" w:styleId="List17">
    <w:name w:val="List 17"/>
    <w:basedOn w:val="a2"/>
    <w:rsid w:val="00AC406E"/>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141">
      <w:bodyDiv w:val="1"/>
      <w:marLeft w:val="0"/>
      <w:marRight w:val="0"/>
      <w:marTop w:val="0"/>
      <w:marBottom w:val="0"/>
      <w:divBdr>
        <w:top w:val="none" w:sz="0" w:space="0" w:color="auto"/>
        <w:left w:val="none" w:sz="0" w:space="0" w:color="auto"/>
        <w:bottom w:val="none" w:sz="0" w:space="0" w:color="auto"/>
        <w:right w:val="none" w:sz="0" w:space="0" w:color="auto"/>
      </w:divBdr>
    </w:div>
    <w:div w:id="150021202">
      <w:bodyDiv w:val="1"/>
      <w:marLeft w:val="0"/>
      <w:marRight w:val="0"/>
      <w:marTop w:val="0"/>
      <w:marBottom w:val="0"/>
      <w:divBdr>
        <w:top w:val="none" w:sz="0" w:space="0" w:color="auto"/>
        <w:left w:val="none" w:sz="0" w:space="0" w:color="auto"/>
        <w:bottom w:val="none" w:sz="0" w:space="0" w:color="auto"/>
        <w:right w:val="none" w:sz="0" w:space="0" w:color="auto"/>
      </w:divBdr>
    </w:div>
    <w:div w:id="603617689">
      <w:bodyDiv w:val="1"/>
      <w:marLeft w:val="0"/>
      <w:marRight w:val="0"/>
      <w:marTop w:val="0"/>
      <w:marBottom w:val="0"/>
      <w:divBdr>
        <w:top w:val="none" w:sz="0" w:space="0" w:color="auto"/>
        <w:left w:val="none" w:sz="0" w:space="0" w:color="auto"/>
        <w:bottom w:val="none" w:sz="0" w:space="0" w:color="auto"/>
        <w:right w:val="none" w:sz="0" w:space="0" w:color="auto"/>
      </w:divBdr>
    </w:div>
    <w:div w:id="712735592">
      <w:bodyDiv w:val="1"/>
      <w:marLeft w:val="0"/>
      <w:marRight w:val="0"/>
      <w:marTop w:val="0"/>
      <w:marBottom w:val="0"/>
      <w:divBdr>
        <w:top w:val="none" w:sz="0" w:space="0" w:color="auto"/>
        <w:left w:val="none" w:sz="0" w:space="0" w:color="auto"/>
        <w:bottom w:val="none" w:sz="0" w:space="0" w:color="auto"/>
        <w:right w:val="none" w:sz="0" w:space="0" w:color="auto"/>
      </w:divBdr>
    </w:div>
    <w:div w:id="1127547560">
      <w:bodyDiv w:val="1"/>
      <w:marLeft w:val="0"/>
      <w:marRight w:val="0"/>
      <w:marTop w:val="0"/>
      <w:marBottom w:val="0"/>
      <w:divBdr>
        <w:top w:val="none" w:sz="0" w:space="0" w:color="auto"/>
        <w:left w:val="none" w:sz="0" w:space="0" w:color="auto"/>
        <w:bottom w:val="none" w:sz="0" w:space="0" w:color="auto"/>
        <w:right w:val="none" w:sz="0" w:space="0" w:color="auto"/>
      </w:divBdr>
      <w:divsChild>
        <w:div w:id="2083990029">
          <w:marLeft w:val="446"/>
          <w:marRight w:val="0"/>
          <w:marTop w:val="0"/>
          <w:marBottom w:val="0"/>
          <w:divBdr>
            <w:top w:val="none" w:sz="0" w:space="0" w:color="auto"/>
            <w:left w:val="none" w:sz="0" w:space="0" w:color="auto"/>
            <w:bottom w:val="none" w:sz="0" w:space="0" w:color="auto"/>
            <w:right w:val="none" w:sz="0" w:space="0" w:color="auto"/>
          </w:divBdr>
        </w:div>
      </w:divsChild>
    </w:div>
    <w:div w:id="1291938248">
      <w:bodyDiv w:val="1"/>
      <w:marLeft w:val="0"/>
      <w:marRight w:val="0"/>
      <w:marTop w:val="0"/>
      <w:marBottom w:val="0"/>
      <w:divBdr>
        <w:top w:val="none" w:sz="0" w:space="0" w:color="auto"/>
        <w:left w:val="none" w:sz="0" w:space="0" w:color="auto"/>
        <w:bottom w:val="none" w:sz="0" w:space="0" w:color="auto"/>
        <w:right w:val="none" w:sz="0" w:space="0" w:color="auto"/>
      </w:divBdr>
    </w:div>
    <w:div w:id="1318848215">
      <w:bodyDiv w:val="1"/>
      <w:marLeft w:val="0"/>
      <w:marRight w:val="0"/>
      <w:marTop w:val="0"/>
      <w:marBottom w:val="0"/>
      <w:divBdr>
        <w:top w:val="none" w:sz="0" w:space="0" w:color="auto"/>
        <w:left w:val="none" w:sz="0" w:space="0" w:color="auto"/>
        <w:bottom w:val="none" w:sz="0" w:space="0" w:color="auto"/>
        <w:right w:val="none" w:sz="0" w:space="0" w:color="auto"/>
      </w:divBdr>
    </w:div>
    <w:div w:id="1534420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B4E62-64E9-4637-9F4E-C062133F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163</Pages>
  <Words>38175</Words>
  <Characters>217604</Characters>
  <Application>Microsoft Office Word</Application>
  <DocSecurity>0</DocSecurity>
  <Lines>1813</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Soon Suet Giin</dc:creator>
  <cp:keywords/>
  <dc:description/>
  <cp:lastModifiedBy>李婉銣</cp:lastModifiedBy>
  <cp:revision>8</cp:revision>
  <cp:lastPrinted>2021-07-30T08:19:00Z</cp:lastPrinted>
  <dcterms:created xsi:type="dcterms:W3CDTF">2021-07-22T06:05:00Z</dcterms:created>
  <dcterms:modified xsi:type="dcterms:W3CDTF">2021-07-30T08:22:00Z</dcterms:modified>
</cp:coreProperties>
</file>